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81" w:rsidRDefault="000B51DC" w:rsidP="00443181">
      <w:pPr>
        <w:pStyle w:val="Title"/>
        <w:rPr>
          <w:sz w:val="28"/>
        </w:rPr>
      </w:pPr>
      <w:r>
        <w:rPr>
          <w:sz w:val="28"/>
        </w:rPr>
        <w:t xml:space="preserve">SWE–Region H </w:t>
      </w:r>
      <w:r w:rsidR="00F45048">
        <w:rPr>
          <w:sz w:val="28"/>
        </w:rPr>
        <w:t>Leadership &amp;</w:t>
      </w:r>
      <w:r w:rsidR="00D2638F">
        <w:rPr>
          <w:sz w:val="28"/>
        </w:rPr>
        <w:t xml:space="preserve"> </w:t>
      </w:r>
      <w:r w:rsidR="00CE763A">
        <w:rPr>
          <w:sz w:val="28"/>
        </w:rPr>
        <w:t xml:space="preserve">Region H Council Representative </w:t>
      </w:r>
      <w:r w:rsidR="00D659DE">
        <w:rPr>
          <w:sz w:val="28"/>
        </w:rPr>
        <w:t xml:space="preserve">Regional </w:t>
      </w:r>
      <w:r>
        <w:rPr>
          <w:sz w:val="28"/>
        </w:rPr>
        <w:t>Travel Grant Policy</w:t>
      </w:r>
    </w:p>
    <w:p w:rsidR="000B51DC" w:rsidRDefault="000B51DC" w:rsidP="00BB44E3">
      <w:pPr>
        <w:pStyle w:val="Title"/>
      </w:pPr>
    </w:p>
    <w:p w:rsidR="000B51DC" w:rsidRDefault="000B51DC">
      <w:pPr>
        <w:pStyle w:val="Heading1"/>
      </w:pPr>
      <w:r>
        <w:t>Purpose</w:t>
      </w:r>
    </w:p>
    <w:p w:rsidR="000B51DC" w:rsidRDefault="000B51DC">
      <w:r>
        <w:t xml:space="preserve">Provide financial assistance for the </w:t>
      </w:r>
      <w:r w:rsidR="00995A0B">
        <w:t xml:space="preserve">Region H </w:t>
      </w:r>
      <w:r w:rsidR="00AC2FA5">
        <w:t>l</w:t>
      </w:r>
      <w:r w:rsidR="006B3B18">
        <w:t xml:space="preserve">eadership and </w:t>
      </w:r>
      <w:r w:rsidR="00995A0B">
        <w:t xml:space="preserve">Region H </w:t>
      </w:r>
      <w:r w:rsidR="00AC2FA5">
        <w:t>c</w:t>
      </w:r>
      <w:r w:rsidR="00995A0B">
        <w:t xml:space="preserve">ouncil </w:t>
      </w:r>
      <w:r w:rsidR="00AC2FA5">
        <w:t>r</w:t>
      </w:r>
      <w:r w:rsidR="00995A0B">
        <w:t xml:space="preserve">epresentative </w:t>
      </w:r>
      <w:r>
        <w:t xml:space="preserve">to attend the </w:t>
      </w:r>
      <w:r w:rsidR="00876B04">
        <w:t xml:space="preserve">SWE Region H </w:t>
      </w:r>
      <w:r w:rsidR="00CE763A">
        <w:t>HART (Heartland Annual Roundtable) Meeting</w:t>
      </w:r>
      <w:r w:rsidR="009328DA">
        <w:t xml:space="preserve">, SWE </w:t>
      </w:r>
      <w:r w:rsidR="00CE763A">
        <w:t xml:space="preserve">Annual </w:t>
      </w:r>
      <w:r w:rsidR="009328DA">
        <w:t>Confer</w:t>
      </w:r>
      <w:r w:rsidR="00D7429E">
        <w:t>e</w:t>
      </w:r>
      <w:r w:rsidR="009328DA">
        <w:t>nce</w:t>
      </w:r>
      <w:r w:rsidR="00443181">
        <w:t>,</w:t>
      </w:r>
      <w:r w:rsidR="006B3B18">
        <w:t xml:space="preserve"> </w:t>
      </w:r>
      <w:r>
        <w:t xml:space="preserve">SWE </w:t>
      </w:r>
      <w:r w:rsidR="00D659DE">
        <w:t xml:space="preserve">Region H </w:t>
      </w:r>
      <w:r>
        <w:t>Conference</w:t>
      </w:r>
      <w:r w:rsidR="00443181">
        <w:t xml:space="preserve">, or any in person </w:t>
      </w:r>
      <w:r w:rsidR="00AC2FA5">
        <w:t>r</w:t>
      </w:r>
      <w:r w:rsidR="00995A0B">
        <w:t xml:space="preserve">egion </w:t>
      </w:r>
      <w:r w:rsidR="00AC2FA5">
        <w:t>c</w:t>
      </w:r>
      <w:r w:rsidR="00995A0B">
        <w:t xml:space="preserve">ouncil </w:t>
      </w:r>
      <w:r w:rsidR="00443181">
        <w:t xml:space="preserve">or </w:t>
      </w:r>
      <w:r w:rsidR="00AC2FA5">
        <w:t>s</w:t>
      </w:r>
      <w:r w:rsidR="00995A0B">
        <w:t xml:space="preserve">enate </w:t>
      </w:r>
      <w:r w:rsidR="00443181">
        <w:t>meeting</w:t>
      </w:r>
      <w:r w:rsidR="00876B04">
        <w:t>.</w:t>
      </w:r>
      <w:r w:rsidR="00321D33">
        <w:t xml:space="preserve"> </w:t>
      </w:r>
    </w:p>
    <w:p w:rsidR="00D2638F" w:rsidRDefault="00D2638F"/>
    <w:p w:rsidR="00D2638F" w:rsidRDefault="00D2638F">
      <w:r>
        <w:t xml:space="preserve">“Region H </w:t>
      </w:r>
      <w:r w:rsidR="00AC2FA5">
        <w:t>l</w:t>
      </w:r>
      <w:r>
        <w:t>eadership” is defined as Region H elected officer</w:t>
      </w:r>
      <w:r w:rsidR="00086DA1">
        <w:t xml:space="preserve"> or senator</w:t>
      </w:r>
      <w:r>
        <w:t xml:space="preserve">. </w:t>
      </w:r>
      <w:r w:rsidR="00D50EE3">
        <w:t xml:space="preserve">The </w:t>
      </w:r>
      <w:r w:rsidR="00AC2FA5">
        <w:t>r</w:t>
      </w:r>
      <w:r w:rsidR="00995A0B">
        <w:t xml:space="preserve">egion </w:t>
      </w:r>
      <w:r w:rsidR="00AC2FA5">
        <w:t>g</w:t>
      </w:r>
      <w:r w:rsidR="00995A0B">
        <w:t xml:space="preserve">overnor </w:t>
      </w:r>
      <w:r w:rsidR="00D50EE3">
        <w:t xml:space="preserve">is not included in this policy. </w:t>
      </w:r>
      <w:r w:rsidR="00086DA1">
        <w:t xml:space="preserve">An alternate </w:t>
      </w:r>
      <w:r w:rsidR="00BB44E3">
        <w:t>representative</w:t>
      </w:r>
      <w:r w:rsidR="00086DA1">
        <w:t xml:space="preserve"> may only apply if she/he will be participating in the absence of </w:t>
      </w:r>
      <w:r w:rsidR="00BB44E3">
        <w:t>the elected representative</w:t>
      </w:r>
      <w:r w:rsidR="00B4171E" w:rsidRPr="00B4171E">
        <w:t xml:space="preserve"> </w:t>
      </w:r>
      <w:r w:rsidR="00B4171E">
        <w:t xml:space="preserve">and has been designated by her/his </w:t>
      </w:r>
      <w:r w:rsidR="00AC2FA5">
        <w:t>s</w:t>
      </w:r>
      <w:r w:rsidR="00B4171E">
        <w:t>ection as an alternate</w:t>
      </w:r>
      <w:r w:rsidR="00086DA1">
        <w:t xml:space="preserve">. </w:t>
      </w:r>
      <w:r w:rsidR="00AC2FA5">
        <w:t>Region c</w:t>
      </w:r>
      <w:r w:rsidR="00086DA1">
        <w:t xml:space="preserve">ollegiate </w:t>
      </w:r>
      <w:r w:rsidR="00AC2FA5">
        <w:t>s</w:t>
      </w:r>
      <w:r w:rsidR="00995A0B">
        <w:t>enator</w:t>
      </w:r>
      <w:r w:rsidR="00086DA1">
        <w:t xml:space="preserve">, </w:t>
      </w:r>
      <w:r w:rsidR="00AC2FA5">
        <w:t>r</w:t>
      </w:r>
      <w:r w:rsidR="0049664A">
        <w:t xml:space="preserve">egion </w:t>
      </w:r>
      <w:r w:rsidR="00AC2FA5">
        <w:t>c</w:t>
      </w:r>
      <w:r w:rsidR="0049664A">
        <w:t xml:space="preserve">ollegiate </w:t>
      </w:r>
      <w:r w:rsidR="00AC2FA5">
        <w:t>r</w:t>
      </w:r>
      <w:r w:rsidR="0049664A">
        <w:t>epresentatives (</w:t>
      </w:r>
      <w:r w:rsidR="00086DA1">
        <w:t>RCR</w:t>
      </w:r>
      <w:r w:rsidR="0049664A">
        <w:t>)</w:t>
      </w:r>
      <w:r w:rsidR="00086DA1">
        <w:t xml:space="preserve">, </w:t>
      </w:r>
      <w:r w:rsidR="00AC2FA5">
        <w:t>r</w:t>
      </w:r>
      <w:r w:rsidR="0049664A">
        <w:t xml:space="preserve">egion </w:t>
      </w:r>
      <w:r w:rsidR="00AC2FA5">
        <w:t>c</w:t>
      </w:r>
      <w:r w:rsidR="0042230D">
        <w:t xml:space="preserve">ollegiate </w:t>
      </w:r>
      <w:r w:rsidR="00AC2FA5">
        <w:t>c</w:t>
      </w:r>
      <w:r w:rsidR="0049664A">
        <w:t xml:space="preserve">ommunication </w:t>
      </w:r>
      <w:r w:rsidR="00AC2FA5">
        <w:t>e</w:t>
      </w:r>
      <w:r w:rsidR="0049664A">
        <w:t>ditor (</w:t>
      </w:r>
      <w:r w:rsidR="00086DA1">
        <w:t>RCCE</w:t>
      </w:r>
      <w:r w:rsidR="0049664A">
        <w:t>)</w:t>
      </w:r>
      <w:r w:rsidR="00AC2FA5">
        <w:t>, and SWE future leaders (SWEFL)</w:t>
      </w:r>
      <w:r w:rsidR="00086DA1">
        <w:t xml:space="preserve"> are not included in this policy; they have a separate policy. </w:t>
      </w:r>
      <w:r>
        <w:t xml:space="preserve">“Applicant” will be used throughout the document to signify </w:t>
      </w:r>
      <w:r w:rsidR="00086DA1">
        <w:t xml:space="preserve">qualifying </w:t>
      </w:r>
      <w:r>
        <w:t xml:space="preserve">“Region H </w:t>
      </w:r>
      <w:r w:rsidR="00AC2FA5">
        <w:t>l</w:t>
      </w:r>
      <w:r>
        <w:t xml:space="preserve">eadership and </w:t>
      </w:r>
      <w:r w:rsidR="00CE763A">
        <w:t xml:space="preserve">Region H </w:t>
      </w:r>
      <w:r w:rsidR="00AC2FA5">
        <w:t>c</w:t>
      </w:r>
      <w:r w:rsidR="00CE763A">
        <w:t xml:space="preserve">ouncil </w:t>
      </w:r>
      <w:r w:rsidR="00AC2FA5">
        <w:t>r</w:t>
      </w:r>
      <w:r w:rsidR="00CE763A">
        <w:t>epresentative</w:t>
      </w:r>
      <w:r w:rsidR="00D42E3B">
        <w:t>.</w:t>
      </w:r>
      <w:r>
        <w:t>”</w:t>
      </w:r>
      <w:r w:rsidR="006B3B18">
        <w:t xml:space="preserve"> </w:t>
      </w:r>
    </w:p>
    <w:p w:rsidR="000B51DC" w:rsidRDefault="000B51DC"/>
    <w:p w:rsidR="000B51DC" w:rsidRDefault="000B51DC">
      <w:pPr>
        <w:pStyle w:val="Heading1"/>
      </w:pPr>
      <w:r>
        <w:t>Budget</w:t>
      </w:r>
    </w:p>
    <w:p w:rsidR="000B51DC" w:rsidRDefault="000B51DC">
      <w:pPr>
        <w:numPr>
          <w:ilvl w:val="0"/>
          <w:numId w:val="1"/>
        </w:numPr>
      </w:pPr>
      <w:r>
        <w:t xml:space="preserve">Budget will be set by the </w:t>
      </w:r>
      <w:r w:rsidR="00AC2FA5">
        <w:t>r</w:t>
      </w:r>
      <w:r w:rsidR="00995A0B">
        <w:t xml:space="preserve">egion </w:t>
      </w:r>
      <w:r w:rsidR="00AC2FA5">
        <w:t>c</w:t>
      </w:r>
      <w:r w:rsidR="00995A0B">
        <w:t xml:space="preserve">ouncil </w:t>
      </w:r>
      <w:r>
        <w:t>for</w:t>
      </w:r>
      <w:r w:rsidR="00D50EE3">
        <w:t xml:space="preserve"> each</w:t>
      </w:r>
      <w:r>
        <w:t xml:space="preserve"> </w:t>
      </w:r>
      <w:r w:rsidR="001D6F19">
        <w:t xml:space="preserve">fiscal </w:t>
      </w:r>
      <w:r>
        <w:t>year.</w:t>
      </w:r>
      <w:r w:rsidR="005D328A">
        <w:t xml:space="preserve"> </w:t>
      </w:r>
    </w:p>
    <w:p w:rsidR="000B51DC" w:rsidRDefault="000B51DC">
      <w:pPr>
        <w:numPr>
          <w:ilvl w:val="0"/>
          <w:numId w:val="1"/>
        </w:numPr>
      </w:pPr>
      <w:r>
        <w:t>Budget dollars not used during the fiscal year will not be transferred to another fiscal year.</w:t>
      </w:r>
    </w:p>
    <w:p w:rsidR="00443181" w:rsidRDefault="00443181">
      <w:pPr>
        <w:numPr>
          <w:ilvl w:val="0"/>
          <w:numId w:val="1"/>
        </w:numPr>
      </w:pPr>
      <w:r>
        <w:t xml:space="preserve">Approved funds will be </w:t>
      </w:r>
      <w:r w:rsidR="00A83DE4">
        <w:t xml:space="preserve">divided among qualifying events by the </w:t>
      </w:r>
      <w:r w:rsidR="00AC2FA5">
        <w:t>r</w:t>
      </w:r>
      <w:r w:rsidR="00995A0B">
        <w:t xml:space="preserve">egion </w:t>
      </w:r>
      <w:r w:rsidR="00AC2FA5">
        <w:t>o</w:t>
      </w:r>
      <w:r w:rsidR="00995A0B">
        <w:t>fficers</w:t>
      </w:r>
      <w:r w:rsidR="00A83DE4">
        <w:t xml:space="preserve">.  </w:t>
      </w:r>
    </w:p>
    <w:p w:rsidR="000B51DC" w:rsidRDefault="000B51DC">
      <w:pPr>
        <w:pStyle w:val="Header"/>
        <w:tabs>
          <w:tab w:val="clear" w:pos="4320"/>
          <w:tab w:val="clear" w:pos="8640"/>
        </w:tabs>
      </w:pPr>
    </w:p>
    <w:p w:rsidR="000B51DC" w:rsidRDefault="000B51DC">
      <w:pPr>
        <w:pStyle w:val="Heading1"/>
      </w:pPr>
      <w:r>
        <w:t>Basic Requirements</w:t>
      </w:r>
    </w:p>
    <w:p w:rsidR="000B51DC" w:rsidRDefault="000B51DC">
      <w:pPr>
        <w:numPr>
          <w:ilvl w:val="0"/>
          <w:numId w:val="2"/>
        </w:numPr>
      </w:pPr>
      <w:r>
        <w:t xml:space="preserve">The travel grant may cover up to 75% of the </w:t>
      </w:r>
      <w:r w:rsidR="00BB44E3">
        <w:t>actual</w:t>
      </w:r>
      <w:r w:rsidR="00C67C77">
        <w:t xml:space="preserve"> </w:t>
      </w:r>
      <w:r>
        <w:t>travel expense</w:t>
      </w:r>
      <w:r w:rsidR="00995A0B">
        <w:t xml:space="preserve">. If </w:t>
      </w:r>
      <w:r>
        <w:t xml:space="preserve">applicable, </w:t>
      </w:r>
      <w:r w:rsidR="00D659DE">
        <w:t xml:space="preserve">the </w:t>
      </w:r>
      <w:r w:rsidR="005D328A">
        <w:t>SWE Section</w:t>
      </w:r>
      <w:r w:rsidR="00A83DE4">
        <w:t>,</w:t>
      </w:r>
      <w:r w:rsidR="005D328A">
        <w:t xml:space="preserve"> </w:t>
      </w:r>
      <w:r w:rsidR="00D659DE">
        <w:t xml:space="preserve">the individual’s </w:t>
      </w:r>
      <w:r w:rsidR="005D328A">
        <w:t>company</w:t>
      </w:r>
      <w:r w:rsidR="00A83DE4">
        <w:t>,</w:t>
      </w:r>
      <w:r>
        <w:t xml:space="preserve"> </w:t>
      </w:r>
      <w:r w:rsidR="00A83DE4">
        <w:t xml:space="preserve">or other </w:t>
      </w:r>
      <w:r>
        <w:t>fund</w:t>
      </w:r>
      <w:r w:rsidR="005D328A">
        <w:t>ing</w:t>
      </w:r>
      <w:r>
        <w:t xml:space="preserve"> shall be used first.  </w:t>
      </w:r>
    </w:p>
    <w:p w:rsidR="000B51DC" w:rsidRDefault="000B51DC">
      <w:pPr>
        <w:numPr>
          <w:ilvl w:val="0"/>
          <w:numId w:val="2"/>
        </w:numPr>
      </w:pPr>
      <w:r>
        <w:t>The traveling distance between the applicant’s home and the location of the event must be more than 100 miles one way.</w:t>
      </w:r>
    </w:p>
    <w:p w:rsidR="000B51DC" w:rsidRDefault="000B51DC">
      <w:pPr>
        <w:numPr>
          <w:ilvl w:val="0"/>
          <w:numId w:val="2"/>
        </w:numPr>
      </w:pPr>
      <w:r>
        <w:t xml:space="preserve">Flights will only be reimbursed if the one-way travel distance exceeds </w:t>
      </w:r>
      <w:r w:rsidR="00D8474A">
        <w:t xml:space="preserve">240 </w:t>
      </w:r>
      <w:r>
        <w:t>miles</w:t>
      </w:r>
      <w:r w:rsidR="00D50EE3">
        <w:t xml:space="preserve"> or if </w:t>
      </w:r>
      <w:r w:rsidR="00BB44E3">
        <w:t>the applicant demonstrates that this is the most cost effective means of transportation.  Associated fees (including but not limited to baggage, parking and airpo</w:t>
      </w:r>
      <w:r w:rsidR="00995A0B">
        <w:t>r</w:t>
      </w:r>
      <w:r w:rsidR="00BB44E3">
        <w:t xml:space="preserve">t shuttle) may be considered.  </w:t>
      </w:r>
    </w:p>
    <w:p w:rsidR="00A83DE4" w:rsidRDefault="00A83DE4">
      <w:pPr>
        <w:numPr>
          <w:ilvl w:val="0"/>
          <w:numId w:val="2"/>
        </w:numPr>
      </w:pPr>
      <w:r>
        <w:t>Mileage can be reimbursed at the IRS approved business rate.</w:t>
      </w:r>
    </w:p>
    <w:p w:rsidR="00BB44E3" w:rsidRDefault="00BB44E3">
      <w:pPr>
        <w:numPr>
          <w:ilvl w:val="0"/>
          <w:numId w:val="2"/>
        </w:numPr>
      </w:pPr>
      <w:r>
        <w:t xml:space="preserve">Rental cars plus gas expense are permitted as a reimbursable mode of transportation.  </w:t>
      </w:r>
    </w:p>
    <w:p w:rsidR="005D16E0" w:rsidRDefault="000B51DC" w:rsidP="005D16E0">
      <w:pPr>
        <w:numPr>
          <w:ilvl w:val="0"/>
          <w:numId w:val="2"/>
        </w:numPr>
      </w:pPr>
      <w:r>
        <w:t xml:space="preserve">The applicant </w:t>
      </w:r>
      <w:r w:rsidR="00BB44E3">
        <w:t xml:space="preserve">is responsible for demonstrating that they have selected the most cost effective method of transport.  If they have not, expenses will be capped at the expenses associated with the most cost effective method of transport.  </w:t>
      </w:r>
    </w:p>
    <w:p w:rsidR="0038611F" w:rsidRDefault="0038611F" w:rsidP="005D16E0">
      <w:pPr>
        <w:numPr>
          <w:ilvl w:val="0"/>
          <w:numId w:val="2"/>
        </w:numPr>
      </w:pPr>
      <w:r>
        <w:t xml:space="preserve">Lodging required during a meeting will be reimbursed at the rate of half of a double room or actual cost, whichever is less.  </w:t>
      </w:r>
    </w:p>
    <w:p w:rsidR="0054116A" w:rsidRDefault="0054116A" w:rsidP="005D16E0">
      <w:pPr>
        <w:numPr>
          <w:ilvl w:val="0"/>
          <w:numId w:val="2"/>
        </w:numPr>
      </w:pPr>
      <w:r>
        <w:lastRenderedPageBreak/>
        <w:t xml:space="preserve">Registration costs are not covered by this grant.  </w:t>
      </w:r>
      <w:r w:rsidR="00995A0B">
        <w:t xml:space="preserve">For Region Conference, the allowable cost is the day rate subtracted from the double registration cost. </w:t>
      </w:r>
    </w:p>
    <w:p w:rsidR="000B51DC" w:rsidRDefault="000B51DC">
      <w:pPr>
        <w:numPr>
          <w:ilvl w:val="0"/>
          <w:numId w:val="2"/>
        </w:numPr>
      </w:pPr>
      <w:r>
        <w:t>Tour/recreational expenses will not be covered by th</w:t>
      </w:r>
      <w:r w:rsidR="00E178F9">
        <w:t>is</w:t>
      </w:r>
      <w:r>
        <w:t xml:space="preserve"> grant.</w:t>
      </w:r>
    </w:p>
    <w:p w:rsidR="000B51DC" w:rsidRDefault="000B51DC"/>
    <w:p w:rsidR="000B51DC" w:rsidRDefault="000B51DC">
      <w:pPr>
        <w:pStyle w:val="Heading1"/>
      </w:pPr>
      <w:r>
        <w:t>Approval Procedure</w:t>
      </w:r>
    </w:p>
    <w:p w:rsidR="00270393" w:rsidRDefault="00270393">
      <w:pPr>
        <w:numPr>
          <w:ilvl w:val="0"/>
          <w:numId w:val="3"/>
        </w:numPr>
      </w:pPr>
      <w:r>
        <w:t xml:space="preserve">The </w:t>
      </w:r>
      <w:r w:rsidR="00AC2FA5">
        <w:t>t</w:t>
      </w:r>
      <w:r w:rsidR="00995A0B">
        <w:t xml:space="preserve">reasurer </w:t>
      </w:r>
      <w:r>
        <w:t>will provide an application form.</w:t>
      </w:r>
    </w:p>
    <w:p w:rsidR="000B51DC" w:rsidRDefault="000B51DC">
      <w:pPr>
        <w:numPr>
          <w:ilvl w:val="0"/>
          <w:numId w:val="3"/>
        </w:numPr>
      </w:pPr>
      <w:r>
        <w:t xml:space="preserve">The due date for the application shall be at least one month prior to the start of </w:t>
      </w:r>
      <w:r w:rsidR="00D659DE">
        <w:t xml:space="preserve">the </w:t>
      </w:r>
      <w:r w:rsidR="00876B04">
        <w:t>event</w:t>
      </w:r>
      <w:r>
        <w:t>.</w:t>
      </w:r>
    </w:p>
    <w:p w:rsidR="00270393" w:rsidRDefault="000B51DC">
      <w:pPr>
        <w:numPr>
          <w:ilvl w:val="0"/>
          <w:numId w:val="3"/>
        </w:numPr>
      </w:pPr>
      <w:r>
        <w:t xml:space="preserve">The </w:t>
      </w:r>
      <w:r w:rsidR="00AC2FA5">
        <w:t>t</w:t>
      </w:r>
      <w:r w:rsidR="00995A0B">
        <w:t xml:space="preserve">reasurer </w:t>
      </w:r>
      <w:r>
        <w:t xml:space="preserve">will review each expense within the application and will make a recommendation to the </w:t>
      </w:r>
      <w:r w:rsidR="00AC2FA5">
        <w:t>r</w:t>
      </w:r>
      <w:r w:rsidR="00995A0B">
        <w:t xml:space="preserve">egion </w:t>
      </w:r>
      <w:r w:rsidR="00AC2FA5">
        <w:t>o</w:t>
      </w:r>
      <w:r w:rsidR="00995A0B">
        <w:t xml:space="preserve">fficers </w:t>
      </w:r>
      <w:r>
        <w:t>for approval or rejection of each expense</w:t>
      </w:r>
      <w:r w:rsidR="00270393">
        <w:t xml:space="preserve"> based on the point values below</w:t>
      </w:r>
      <w:r>
        <w:t xml:space="preserve">. </w:t>
      </w:r>
      <w:r w:rsidR="00270393">
        <w:t xml:space="preserve"> </w:t>
      </w:r>
      <w:r w:rsidR="00EC2A33">
        <w:t xml:space="preserve">The elected </w:t>
      </w:r>
      <w:r w:rsidR="00AC2FA5">
        <w:t>r</w:t>
      </w:r>
      <w:r w:rsidR="00995A0B">
        <w:t xml:space="preserve">egion </w:t>
      </w:r>
      <w:r w:rsidR="00AC2FA5">
        <w:t>o</w:t>
      </w:r>
      <w:r w:rsidR="00995A0B">
        <w:t xml:space="preserve">fficers </w:t>
      </w:r>
      <w:r w:rsidR="00EC2A33">
        <w:t xml:space="preserve">shall approve or reject each application.  </w:t>
      </w:r>
      <w:r w:rsidR="00270393">
        <w:rPr>
          <w:rFonts w:eastAsia="MS Mincho"/>
        </w:rPr>
        <w:t>(</w:t>
      </w:r>
      <w:r w:rsidR="00270393" w:rsidRPr="003E66E9">
        <w:rPr>
          <w:rFonts w:eastAsia="MS Mincho"/>
          <w:i/>
        </w:rPr>
        <w:t xml:space="preserve">Note: The guidelines should not be treated as absolute rules.  The purpose of the Travel Grants should be kept in mind when processing the </w:t>
      </w:r>
      <w:r w:rsidR="00270393" w:rsidRPr="00270393">
        <w:rPr>
          <w:rFonts w:eastAsia="MS Mincho"/>
          <w:i/>
        </w:rPr>
        <w:t>applications.)</w:t>
      </w:r>
      <w:r w:rsidR="00270393">
        <w:t xml:space="preserve"> </w:t>
      </w:r>
    </w:p>
    <w:p w:rsidR="00270393" w:rsidRDefault="00270393" w:rsidP="00270393">
      <w:pPr>
        <w:pStyle w:val="PlainText"/>
        <w:numPr>
          <w:ilvl w:val="0"/>
          <w:numId w:val="3"/>
        </w:numPr>
        <w:rPr>
          <w:rFonts w:ascii="Times New Roman" w:eastAsia="MS Mincho" w:hAnsi="Times New Roman"/>
          <w:sz w:val="24"/>
        </w:rPr>
      </w:pPr>
      <w:r>
        <w:rPr>
          <w:rFonts w:ascii="Times New Roman" w:eastAsia="MS Mincho" w:hAnsi="Times New Roman"/>
          <w:sz w:val="24"/>
        </w:rPr>
        <w:t>Point Values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950"/>
        <w:gridCol w:w="2179"/>
      </w:tblGrid>
      <w:tr w:rsidR="00270393">
        <w:tc>
          <w:tcPr>
            <w:tcW w:w="1548" w:type="dxa"/>
          </w:tcPr>
          <w:p w:rsidR="00270393" w:rsidRDefault="00270393" w:rsidP="006B3B18">
            <w:pPr>
              <w:pStyle w:val="PlainText"/>
              <w:rPr>
                <w:rFonts w:ascii="Times New Roman" w:eastAsia="MS Mincho" w:hAnsi="Times New Roman"/>
                <w:sz w:val="24"/>
              </w:rPr>
            </w:pPr>
            <w:r>
              <w:rPr>
                <w:rFonts w:ascii="Times New Roman" w:eastAsia="MS Mincho" w:hAnsi="Times New Roman"/>
                <w:sz w:val="24"/>
              </w:rPr>
              <w:t>Point Value</w:t>
            </w:r>
          </w:p>
        </w:tc>
        <w:tc>
          <w:tcPr>
            <w:tcW w:w="2950"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Section Need</w:t>
            </w:r>
          </w:p>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(Net asset stated in the previous year’s financial report)</w:t>
            </w:r>
            <w:r w:rsidR="0006731D">
              <w:rPr>
                <w:rFonts w:ascii="Times New Roman" w:eastAsia="MS Mincho" w:hAnsi="Times New Roman"/>
                <w:sz w:val="24"/>
              </w:rPr>
              <w:t xml:space="preserve"> – Section reps only</w:t>
            </w:r>
          </w:p>
        </w:tc>
        <w:tc>
          <w:tcPr>
            <w:tcW w:w="2179"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Distance from Event</w:t>
            </w:r>
          </w:p>
        </w:tc>
      </w:tr>
      <w:tr w:rsidR="00270393">
        <w:tc>
          <w:tcPr>
            <w:tcW w:w="1548"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5</w:t>
            </w:r>
          </w:p>
        </w:tc>
        <w:tc>
          <w:tcPr>
            <w:tcW w:w="2950"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Less than $1,000</w:t>
            </w:r>
          </w:p>
        </w:tc>
        <w:tc>
          <w:tcPr>
            <w:tcW w:w="2179"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Over 550 miles</w:t>
            </w:r>
          </w:p>
        </w:tc>
      </w:tr>
      <w:tr w:rsidR="00270393">
        <w:tc>
          <w:tcPr>
            <w:tcW w:w="1548"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4</w:t>
            </w:r>
          </w:p>
        </w:tc>
        <w:tc>
          <w:tcPr>
            <w:tcW w:w="2950"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$1,000-$2,500</w:t>
            </w:r>
          </w:p>
        </w:tc>
        <w:tc>
          <w:tcPr>
            <w:tcW w:w="2179"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451-550 miles</w:t>
            </w:r>
          </w:p>
        </w:tc>
      </w:tr>
      <w:tr w:rsidR="00270393">
        <w:tc>
          <w:tcPr>
            <w:tcW w:w="1548"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3</w:t>
            </w:r>
          </w:p>
        </w:tc>
        <w:tc>
          <w:tcPr>
            <w:tcW w:w="2950"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$2,501-$5,000</w:t>
            </w:r>
          </w:p>
        </w:tc>
        <w:tc>
          <w:tcPr>
            <w:tcW w:w="2179"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351-450 miles</w:t>
            </w:r>
          </w:p>
        </w:tc>
      </w:tr>
      <w:tr w:rsidR="00270393">
        <w:tc>
          <w:tcPr>
            <w:tcW w:w="1548"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2</w:t>
            </w:r>
          </w:p>
        </w:tc>
        <w:tc>
          <w:tcPr>
            <w:tcW w:w="2950"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$5,001-$10,000</w:t>
            </w:r>
          </w:p>
        </w:tc>
        <w:tc>
          <w:tcPr>
            <w:tcW w:w="2179"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251-350 miles</w:t>
            </w:r>
          </w:p>
        </w:tc>
      </w:tr>
      <w:tr w:rsidR="00270393">
        <w:tc>
          <w:tcPr>
            <w:tcW w:w="1548"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1</w:t>
            </w:r>
          </w:p>
        </w:tc>
        <w:tc>
          <w:tcPr>
            <w:tcW w:w="2950"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Over $10,000</w:t>
            </w:r>
          </w:p>
        </w:tc>
        <w:tc>
          <w:tcPr>
            <w:tcW w:w="2179" w:type="dxa"/>
          </w:tcPr>
          <w:p w:rsidR="00270393" w:rsidRDefault="00270393" w:rsidP="006B3B18">
            <w:pPr>
              <w:pStyle w:val="PlainText"/>
              <w:jc w:val="center"/>
              <w:rPr>
                <w:rFonts w:ascii="Times New Roman" w:eastAsia="MS Mincho" w:hAnsi="Times New Roman"/>
                <w:sz w:val="24"/>
              </w:rPr>
            </w:pPr>
            <w:r>
              <w:rPr>
                <w:rFonts w:ascii="Times New Roman" w:eastAsia="MS Mincho" w:hAnsi="Times New Roman"/>
                <w:sz w:val="24"/>
              </w:rPr>
              <w:t>151-250 miles</w:t>
            </w:r>
          </w:p>
        </w:tc>
      </w:tr>
    </w:tbl>
    <w:p w:rsidR="00C67C77" w:rsidRDefault="003C29C9" w:rsidP="00C67C77">
      <w:pPr>
        <w:pStyle w:val="PlainText"/>
        <w:numPr>
          <w:ilvl w:val="0"/>
          <w:numId w:val="14"/>
        </w:numPr>
        <w:rPr>
          <w:rFonts w:ascii="Times New Roman" w:hAnsi="Times New Roman" w:cs="Times New Roman"/>
          <w:sz w:val="24"/>
        </w:rPr>
      </w:pPr>
      <w:r>
        <w:rPr>
          <w:rFonts w:ascii="Times New Roman" w:hAnsi="Times New Roman" w:cs="Times New Roman"/>
          <w:sz w:val="24"/>
        </w:rPr>
        <w:t>Additional</w:t>
      </w:r>
      <w:r w:rsidR="00C67C77">
        <w:rPr>
          <w:rFonts w:ascii="Times New Roman" w:hAnsi="Times New Roman" w:cs="Times New Roman"/>
          <w:sz w:val="24"/>
        </w:rPr>
        <w:t xml:space="preserve"> points</w:t>
      </w:r>
    </w:p>
    <w:p w:rsidR="00C67C77" w:rsidRDefault="00270393" w:rsidP="00C67C77">
      <w:pPr>
        <w:pStyle w:val="PlainText"/>
        <w:numPr>
          <w:ilvl w:val="1"/>
          <w:numId w:val="14"/>
        </w:numPr>
        <w:ind w:left="1890" w:hanging="450"/>
        <w:rPr>
          <w:rFonts w:ascii="Times New Roman" w:hAnsi="Times New Roman" w:cs="Times New Roman"/>
          <w:sz w:val="24"/>
        </w:rPr>
      </w:pPr>
      <w:r w:rsidRPr="00C67C77">
        <w:rPr>
          <w:rFonts w:ascii="Times New Roman" w:hAnsi="Times New Roman" w:cs="Times New Roman"/>
          <w:sz w:val="24"/>
        </w:rPr>
        <w:t xml:space="preserve">One point will also be awarded if the applicant is making a report to the </w:t>
      </w:r>
      <w:r w:rsidR="00AC2FA5">
        <w:rPr>
          <w:rFonts w:ascii="Times New Roman" w:hAnsi="Times New Roman" w:cs="Times New Roman"/>
          <w:sz w:val="24"/>
        </w:rPr>
        <w:t>r</w:t>
      </w:r>
      <w:r w:rsidR="00995A0B" w:rsidRPr="00C67C77">
        <w:rPr>
          <w:rFonts w:ascii="Times New Roman" w:hAnsi="Times New Roman" w:cs="Times New Roman"/>
          <w:sz w:val="24"/>
        </w:rPr>
        <w:t xml:space="preserve">egion </w:t>
      </w:r>
      <w:r w:rsidR="00AC2FA5">
        <w:rPr>
          <w:rFonts w:ascii="Times New Roman" w:hAnsi="Times New Roman" w:cs="Times New Roman"/>
          <w:sz w:val="24"/>
        </w:rPr>
        <w:t>c</w:t>
      </w:r>
      <w:r w:rsidR="00995A0B" w:rsidRPr="00C67C77">
        <w:rPr>
          <w:rFonts w:ascii="Times New Roman" w:hAnsi="Times New Roman" w:cs="Times New Roman"/>
          <w:sz w:val="24"/>
        </w:rPr>
        <w:t>ouncil</w:t>
      </w:r>
      <w:r w:rsidRPr="00C67C77">
        <w:rPr>
          <w:rFonts w:ascii="Times New Roman" w:hAnsi="Times New Roman" w:cs="Times New Roman"/>
          <w:sz w:val="24"/>
        </w:rPr>
        <w:t>.</w:t>
      </w:r>
    </w:p>
    <w:p w:rsidR="00C67C77" w:rsidRPr="00C67C77" w:rsidDel="00C67C77" w:rsidRDefault="00270393" w:rsidP="00C67C77">
      <w:pPr>
        <w:pStyle w:val="PlainText"/>
        <w:numPr>
          <w:ilvl w:val="1"/>
          <w:numId w:val="14"/>
        </w:numPr>
        <w:ind w:left="1890" w:hanging="450"/>
        <w:rPr>
          <w:rFonts w:ascii="Times New Roman" w:hAnsi="Times New Roman" w:cs="Times New Roman"/>
          <w:sz w:val="24"/>
        </w:rPr>
      </w:pPr>
      <w:r w:rsidRPr="00C67C77">
        <w:rPr>
          <w:rFonts w:ascii="Times New Roman" w:hAnsi="Times New Roman" w:cs="Times New Roman"/>
          <w:sz w:val="24"/>
        </w:rPr>
        <w:t>Two points awarded if the applicant</w:t>
      </w:r>
      <w:r w:rsidRPr="00C67C77" w:rsidDel="00D2638F">
        <w:rPr>
          <w:rFonts w:ascii="Times New Roman" w:hAnsi="Times New Roman" w:cs="Times New Roman"/>
          <w:sz w:val="24"/>
        </w:rPr>
        <w:t xml:space="preserve"> </w:t>
      </w:r>
      <w:r w:rsidRPr="00C67C77">
        <w:rPr>
          <w:rFonts w:ascii="Times New Roman" w:hAnsi="Times New Roman" w:cs="Times New Roman"/>
          <w:sz w:val="24"/>
        </w:rPr>
        <w:t>is a presenter at a conference session.</w:t>
      </w:r>
    </w:p>
    <w:p w:rsidR="00C67C77" w:rsidRPr="00C67C77" w:rsidDel="00C67C77" w:rsidRDefault="00270393" w:rsidP="00C67C77">
      <w:pPr>
        <w:pStyle w:val="PlainText"/>
        <w:numPr>
          <w:ilvl w:val="1"/>
          <w:numId w:val="14"/>
        </w:numPr>
        <w:ind w:left="1890" w:hanging="450"/>
        <w:rPr>
          <w:rFonts w:ascii="Times New Roman" w:hAnsi="Times New Roman" w:cs="Times New Roman"/>
          <w:sz w:val="24"/>
        </w:rPr>
      </w:pPr>
      <w:r w:rsidRPr="00C67C77">
        <w:rPr>
          <w:rFonts w:ascii="Times New Roman" w:hAnsi="Times New Roman" w:cs="Times New Roman"/>
          <w:sz w:val="24"/>
        </w:rPr>
        <w:t>One point will be awarded if the applicant</w:t>
      </w:r>
      <w:r w:rsidRPr="00C67C77" w:rsidDel="00D2638F">
        <w:rPr>
          <w:rFonts w:ascii="Times New Roman" w:hAnsi="Times New Roman" w:cs="Times New Roman"/>
          <w:sz w:val="24"/>
        </w:rPr>
        <w:t xml:space="preserve"> </w:t>
      </w:r>
      <w:r w:rsidR="00C67C77">
        <w:rPr>
          <w:rFonts w:ascii="Times New Roman" w:hAnsi="Times New Roman" w:cs="Times New Roman"/>
          <w:sz w:val="24"/>
        </w:rPr>
        <w:t xml:space="preserve">also </w:t>
      </w:r>
      <w:r w:rsidRPr="00C67C77">
        <w:rPr>
          <w:rFonts w:ascii="Times New Roman" w:hAnsi="Times New Roman" w:cs="Times New Roman"/>
          <w:sz w:val="24"/>
        </w:rPr>
        <w:t xml:space="preserve">serves on a </w:t>
      </w:r>
      <w:r w:rsidR="00AC2FA5">
        <w:rPr>
          <w:rFonts w:ascii="Times New Roman" w:hAnsi="Times New Roman" w:cs="Times New Roman"/>
          <w:sz w:val="24"/>
        </w:rPr>
        <w:t>r</w:t>
      </w:r>
      <w:r w:rsidR="00995A0B" w:rsidRPr="00C67C77">
        <w:rPr>
          <w:rFonts w:ascii="Times New Roman" w:hAnsi="Times New Roman" w:cs="Times New Roman"/>
          <w:sz w:val="24"/>
        </w:rPr>
        <w:t xml:space="preserve">egion </w:t>
      </w:r>
      <w:r w:rsidR="00AC2FA5">
        <w:rPr>
          <w:rFonts w:ascii="Times New Roman" w:hAnsi="Times New Roman" w:cs="Times New Roman"/>
          <w:sz w:val="24"/>
        </w:rPr>
        <w:t>c</w:t>
      </w:r>
      <w:r w:rsidR="00995A0B" w:rsidRPr="00C67C77">
        <w:rPr>
          <w:rFonts w:ascii="Times New Roman" w:hAnsi="Times New Roman" w:cs="Times New Roman"/>
          <w:sz w:val="24"/>
        </w:rPr>
        <w:t xml:space="preserve">ommittee </w:t>
      </w:r>
      <w:r w:rsidRPr="00C67C77">
        <w:rPr>
          <w:rFonts w:ascii="Times New Roman" w:hAnsi="Times New Roman" w:cs="Times New Roman"/>
          <w:sz w:val="24"/>
        </w:rPr>
        <w:t xml:space="preserve">and two points if they are a </w:t>
      </w:r>
      <w:r w:rsidR="00AC2FA5">
        <w:rPr>
          <w:rFonts w:ascii="Times New Roman" w:hAnsi="Times New Roman" w:cs="Times New Roman"/>
          <w:sz w:val="24"/>
        </w:rPr>
        <w:t>r</w:t>
      </w:r>
      <w:r w:rsidR="00995A0B" w:rsidRPr="00C67C77">
        <w:rPr>
          <w:rFonts w:ascii="Times New Roman" w:hAnsi="Times New Roman" w:cs="Times New Roman"/>
          <w:sz w:val="24"/>
        </w:rPr>
        <w:t xml:space="preserve">egion </w:t>
      </w:r>
      <w:r w:rsidR="00AC2FA5">
        <w:rPr>
          <w:rFonts w:ascii="Times New Roman" w:hAnsi="Times New Roman" w:cs="Times New Roman"/>
          <w:sz w:val="24"/>
        </w:rPr>
        <w:t>c</w:t>
      </w:r>
      <w:r w:rsidR="00995A0B" w:rsidRPr="00C67C77">
        <w:rPr>
          <w:rFonts w:ascii="Times New Roman" w:hAnsi="Times New Roman" w:cs="Times New Roman"/>
          <w:sz w:val="24"/>
        </w:rPr>
        <w:t xml:space="preserve">ommittee </w:t>
      </w:r>
      <w:r w:rsidR="00AC2FA5">
        <w:rPr>
          <w:rFonts w:ascii="Times New Roman" w:hAnsi="Times New Roman" w:cs="Times New Roman"/>
          <w:sz w:val="24"/>
        </w:rPr>
        <w:t>c</w:t>
      </w:r>
      <w:r w:rsidR="00995A0B" w:rsidRPr="00C67C77">
        <w:rPr>
          <w:rFonts w:ascii="Times New Roman" w:hAnsi="Times New Roman" w:cs="Times New Roman"/>
          <w:sz w:val="24"/>
        </w:rPr>
        <w:t>hair</w:t>
      </w:r>
      <w:r w:rsidRPr="00C67C77">
        <w:rPr>
          <w:rFonts w:ascii="Times New Roman" w:hAnsi="Times New Roman" w:cs="Times New Roman"/>
          <w:sz w:val="24"/>
        </w:rPr>
        <w:t>.</w:t>
      </w:r>
    </w:p>
    <w:p w:rsidR="00270393" w:rsidRPr="00C67C77" w:rsidRDefault="00270393" w:rsidP="00C67C77">
      <w:pPr>
        <w:pStyle w:val="PlainText"/>
        <w:numPr>
          <w:ilvl w:val="1"/>
          <w:numId w:val="14"/>
        </w:numPr>
        <w:ind w:left="1890" w:hanging="450"/>
        <w:rPr>
          <w:rFonts w:ascii="Times New Roman" w:hAnsi="Times New Roman" w:cs="Times New Roman"/>
          <w:sz w:val="24"/>
        </w:rPr>
      </w:pPr>
      <w:r w:rsidRPr="00C67C77">
        <w:rPr>
          <w:rFonts w:ascii="Times New Roman" w:hAnsi="Times New Roman" w:cs="Times New Roman"/>
          <w:sz w:val="24"/>
        </w:rPr>
        <w:t>One point will be awarded if the applicant</w:t>
      </w:r>
      <w:r w:rsidRPr="00C67C77" w:rsidDel="00D2638F">
        <w:rPr>
          <w:rFonts w:ascii="Times New Roman" w:hAnsi="Times New Roman" w:cs="Times New Roman"/>
          <w:sz w:val="24"/>
        </w:rPr>
        <w:t xml:space="preserve"> </w:t>
      </w:r>
      <w:r w:rsidR="00C67C77">
        <w:rPr>
          <w:rFonts w:ascii="Times New Roman" w:hAnsi="Times New Roman" w:cs="Times New Roman"/>
          <w:sz w:val="24"/>
        </w:rPr>
        <w:t xml:space="preserve">also </w:t>
      </w:r>
      <w:r w:rsidRPr="00C67C77">
        <w:rPr>
          <w:rFonts w:ascii="Times New Roman" w:hAnsi="Times New Roman" w:cs="Times New Roman"/>
          <w:sz w:val="24"/>
        </w:rPr>
        <w:t xml:space="preserve">serves on a </w:t>
      </w:r>
      <w:r w:rsidR="00C67C77">
        <w:rPr>
          <w:rFonts w:ascii="Times New Roman" w:hAnsi="Times New Roman" w:cs="Times New Roman"/>
          <w:sz w:val="24"/>
        </w:rPr>
        <w:t xml:space="preserve">Society or </w:t>
      </w:r>
      <w:r w:rsidR="00AC2FA5">
        <w:rPr>
          <w:rFonts w:ascii="Times New Roman" w:hAnsi="Times New Roman" w:cs="Times New Roman"/>
          <w:sz w:val="24"/>
        </w:rPr>
        <w:t>s</w:t>
      </w:r>
      <w:r w:rsidR="00995A0B">
        <w:rPr>
          <w:rFonts w:ascii="Times New Roman" w:hAnsi="Times New Roman" w:cs="Times New Roman"/>
          <w:sz w:val="24"/>
        </w:rPr>
        <w:t xml:space="preserve">enate </w:t>
      </w:r>
      <w:r w:rsidR="00AC2FA5">
        <w:rPr>
          <w:rFonts w:ascii="Times New Roman" w:hAnsi="Times New Roman" w:cs="Times New Roman"/>
          <w:sz w:val="24"/>
        </w:rPr>
        <w:t>c</w:t>
      </w:r>
      <w:r w:rsidR="003728A9">
        <w:rPr>
          <w:rFonts w:ascii="Times New Roman" w:hAnsi="Times New Roman" w:cs="Times New Roman"/>
          <w:sz w:val="24"/>
        </w:rPr>
        <w:t>ommittee</w:t>
      </w:r>
      <w:r w:rsidRPr="00C67C77">
        <w:rPr>
          <w:rFonts w:ascii="Times New Roman" w:hAnsi="Times New Roman" w:cs="Times New Roman"/>
          <w:sz w:val="24"/>
        </w:rPr>
        <w:t>.</w:t>
      </w:r>
    </w:p>
    <w:p w:rsidR="000B51DC" w:rsidRDefault="000B51DC">
      <w:pPr>
        <w:numPr>
          <w:ilvl w:val="0"/>
          <w:numId w:val="3"/>
        </w:numPr>
      </w:pPr>
      <w:r>
        <w:t xml:space="preserve">The total amount approved may be less than the grant budget for the fiscal year. </w:t>
      </w:r>
    </w:p>
    <w:p w:rsidR="000B51DC" w:rsidRDefault="000B51DC">
      <w:pPr>
        <w:numPr>
          <w:ilvl w:val="0"/>
          <w:numId w:val="3"/>
        </w:numPr>
      </w:pPr>
      <w:r>
        <w:t xml:space="preserve">The </w:t>
      </w:r>
      <w:r w:rsidR="00AC2FA5">
        <w:t>t</w:t>
      </w:r>
      <w:r w:rsidR="00995A0B">
        <w:t xml:space="preserve">reasurer </w:t>
      </w:r>
      <w:r>
        <w:t>will inform the applicant of the approval/rejection of each expense and the total amount of the grant no later than 10 days after the application deadline.</w:t>
      </w:r>
    </w:p>
    <w:p w:rsidR="00011B6F" w:rsidRDefault="00011B6F" w:rsidP="00011B6F">
      <w:pPr>
        <w:pStyle w:val="PlainText"/>
        <w:numPr>
          <w:ilvl w:val="0"/>
          <w:numId w:val="3"/>
        </w:numPr>
        <w:rPr>
          <w:rFonts w:ascii="Times New Roman" w:eastAsia="MS Mincho" w:hAnsi="Times New Roman"/>
          <w:sz w:val="24"/>
        </w:rPr>
      </w:pPr>
      <w:r>
        <w:rPr>
          <w:rFonts w:ascii="Times New Roman" w:eastAsia="MS Mincho" w:hAnsi="Times New Roman"/>
          <w:sz w:val="24"/>
        </w:rPr>
        <w:t>All the applications for a given event will be processed at the same time.</w:t>
      </w:r>
    </w:p>
    <w:p w:rsidR="005D16E0" w:rsidRDefault="005D16E0" w:rsidP="005D16E0">
      <w:pPr>
        <w:pStyle w:val="PlainText"/>
        <w:ind w:left="720"/>
        <w:rPr>
          <w:rFonts w:ascii="Times New Roman" w:eastAsia="MS Mincho" w:hAnsi="Times New Roman"/>
          <w:sz w:val="24"/>
        </w:rPr>
      </w:pPr>
    </w:p>
    <w:p w:rsidR="000B51DC" w:rsidRDefault="000B51DC">
      <w:pPr>
        <w:pStyle w:val="Heading1"/>
      </w:pPr>
      <w:r>
        <w:t>Guidelines for Approving Travel Grants</w:t>
      </w:r>
    </w:p>
    <w:p w:rsidR="000B51DC" w:rsidRDefault="000B51DC">
      <w:pPr>
        <w:numPr>
          <w:ilvl w:val="0"/>
          <w:numId w:val="4"/>
        </w:numPr>
      </w:pPr>
      <w:r>
        <w:t xml:space="preserve">The application must be received by the due date. </w:t>
      </w:r>
      <w:r w:rsidR="00011B6F">
        <w:rPr>
          <w:rFonts w:eastAsia="MS Mincho"/>
        </w:rPr>
        <w:t xml:space="preserve">No late applications will be processed.  </w:t>
      </w:r>
      <w:r>
        <w:t>E-mail is the preferred method for submitting an application.</w:t>
      </w:r>
    </w:p>
    <w:p w:rsidR="000B51DC" w:rsidRDefault="000B51DC">
      <w:pPr>
        <w:numPr>
          <w:ilvl w:val="0"/>
          <w:numId w:val="4"/>
        </w:numPr>
      </w:pPr>
      <w:r>
        <w:t>All basic requirements described above must be met.</w:t>
      </w:r>
    </w:p>
    <w:p w:rsidR="00011B6F" w:rsidRDefault="00011B6F" w:rsidP="00011B6F">
      <w:pPr>
        <w:pStyle w:val="PlainText"/>
        <w:numPr>
          <w:ilvl w:val="0"/>
          <w:numId w:val="4"/>
        </w:numPr>
        <w:rPr>
          <w:rFonts w:ascii="Times New Roman" w:eastAsia="MS Mincho" w:hAnsi="Times New Roman"/>
          <w:sz w:val="24"/>
        </w:rPr>
      </w:pPr>
      <w:r>
        <w:rPr>
          <w:rFonts w:ascii="Times New Roman" w:eastAsia="MS Mincho" w:hAnsi="Times New Roman"/>
          <w:sz w:val="24"/>
        </w:rPr>
        <w:lastRenderedPageBreak/>
        <w:t>The amount of money to be approved will be based on the availability of the funds and the number of applicants.  If</w:t>
      </w:r>
      <w:r w:rsidR="00635A47">
        <w:rPr>
          <w:rFonts w:ascii="Times New Roman" w:eastAsia="MS Mincho" w:hAnsi="Times New Roman"/>
          <w:sz w:val="24"/>
        </w:rPr>
        <w:t xml:space="preserve"> there is</w:t>
      </w:r>
      <w:r>
        <w:rPr>
          <w:rFonts w:ascii="Times New Roman" w:eastAsia="MS Mincho" w:hAnsi="Times New Roman"/>
          <w:sz w:val="24"/>
        </w:rPr>
        <w:t xml:space="preserve"> more than one </w:t>
      </w:r>
      <w:r w:rsidR="00D2638F">
        <w:rPr>
          <w:rFonts w:ascii="Times New Roman" w:hAnsi="Times New Roman" w:cs="Times New Roman"/>
          <w:sz w:val="24"/>
        </w:rPr>
        <w:t>applicant</w:t>
      </w:r>
      <w:r w:rsidR="00D2638F" w:rsidDel="00D2638F">
        <w:rPr>
          <w:rFonts w:ascii="Times New Roman" w:eastAsia="MS Mincho" w:hAnsi="Times New Roman"/>
          <w:sz w:val="24"/>
        </w:rPr>
        <w:t xml:space="preserve"> </w:t>
      </w:r>
      <w:r>
        <w:rPr>
          <w:rFonts w:ascii="Times New Roman" w:eastAsia="MS Mincho" w:hAnsi="Times New Roman"/>
          <w:sz w:val="24"/>
        </w:rPr>
        <w:t xml:space="preserve">for the grant, the funds may not necessarily be equally divided among applicants.  </w:t>
      </w:r>
    </w:p>
    <w:p w:rsidR="00011B6F" w:rsidRDefault="00011B6F" w:rsidP="00011B6F">
      <w:pPr>
        <w:pStyle w:val="PlainText"/>
        <w:numPr>
          <w:ilvl w:val="0"/>
          <w:numId w:val="4"/>
        </w:numPr>
        <w:rPr>
          <w:rFonts w:ascii="Times New Roman" w:eastAsia="MS Mincho" w:hAnsi="Times New Roman"/>
          <w:sz w:val="24"/>
        </w:rPr>
      </w:pPr>
      <w:r>
        <w:rPr>
          <w:rFonts w:ascii="Times New Roman" w:eastAsia="MS Mincho" w:hAnsi="Times New Roman"/>
          <w:sz w:val="24"/>
        </w:rPr>
        <w:t xml:space="preserve">When </w:t>
      </w:r>
      <w:r w:rsidR="00635A47">
        <w:rPr>
          <w:rFonts w:ascii="Times New Roman" w:eastAsia="MS Mincho" w:hAnsi="Times New Roman"/>
          <w:sz w:val="24"/>
        </w:rPr>
        <w:t xml:space="preserve">there is </w:t>
      </w:r>
      <w:r>
        <w:rPr>
          <w:rFonts w:ascii="Times New Roman" w:eastAsia="MS Mincho" w:hAnsi="Times New Roman"/>
          <w:sz w:val="24"/>
        </w:rPr>
        <w:t xml:space="preserve">more than one </w:t>
      </w:r>
      <w:r w:rsidR="00D2638F">
        <w:rPr>
          <w:rFonts w:ascii="Times New Roman" w:hAnsi="Times New Roman" w:cs="Times New Roman"/>
          <w:sz w:val="24"/>
        </w:rPr>
        <w:t>applicant</w:t>
      </w:r>
      <w:r w:rsidR="00D2638F" w:rsidDel="00D2638F">
        <w:rPr>
          <w:rFonts w:ascii="Times New Roman" w:eastAsia="MS Mincho" w:hAnsi="Times New Roman"/>
          <w:sz w:val="24"/>
        </w:rPr>
        <w:t xml:space="preserve"> </w:t>
      </w:r>
      <w:r>
        <w:rPr>
          <w:rFonts w:ascii="Times New Roman" w:eastAsia="MS Mincho" w:hAnsi="Times New Roman"/>
          <w:sz w:val="24"/>
        </w:rPr>
        <w:t>for a grant for the same event, the following conditions will be considered:</w:t>
      </w:r>
    </w:p>
    <w:p w:rsidR="00011B6F" w:rsidRDefault="00011B6F" w:rsidP="00827AF3">
      <w:pPr>
        <w:pStyle w:val="PlainText"/>
        <w:numPr>
          <w:ilvl w:val="0"/>
          <w:numId w:val="15"/>
        </w:numPr>
        <w:rPr>
          <w:rFonts w:ascii="Times New Roman" w:eastAsia="MS Mincho" w:hAnsi="Times New Roman"/>
          <w:sz w:val="24"/>
        </w:rPr>
      </w:pPr>
      <w:r>
        <w:rPr>
          <w:rFonts w:ascii="Times New Roman" w:eastAsia="MS Mincho" w:hAnsi="Times New Roman"/>
          <w:sz w:val="24"/>
        </w:rPr>
        <w:t xml:space="preserve">A greater consideration will be given to the </w:t>
      </w:r>
      <w:r w:rsidR="00D2638F">
        <w:rPr>
          <w:rFonts w:ascii="Times New Roman" w:hAnsi="Times New Roman" w:cs="Times New Roman"/>
          <w:sz w:val="24"/>
        </w:rPr>
        <w:t>applicant</w:t>
      </w:r>
      <w:r>
        <w:rPr>
          <w:rFonts w:ascii="Times New Roman" w:eastAsia="MS Mincho" w:hAnsi="Times New Roman"/>
          <w:sz w:val="24"/>
        </w:rPr>
        <w:t xml:space="preserve"> wh</w:t>
      </w:r>
      <w:r w:rsidR="00327872">
        <w:rPr>
          <w:rFonts w:ascii="Times New Roman" w:eastAsia="MS Mincho" w:hAnsi="Times New Roman"/>
          <w:sz w:val="24"/>
        </w:rPr>
        <w:t>o</w:t>
      </w:r>
      <w:r>
        <w:rPr>
          <w:rFonts w:ascii="Times New Roman" w:eastAsia="MS Mincho" w:hAnsi="Times New Roman"/>
          <w:sz w:val="24"/>
        </w:rPr>
        <w:t xml:space="preserve"> has direct association with the event.  For example, a</w:t>
      </w:r>
      <w:r w:rsidR="00327872">
        <w:rPr>
          <w:rFonts w:ascii="Times New Roman" w:eastAsia="MS Mincho" w:hAnsi="Times New Roman"/>
          <w:sz w:val="24"/>
        </w:rPr>
        <w:t>n</w:t>
      </w:r>
      <w:r>
        <w:rPr>
          <w:rFonts w:ascii="Times New Roman" w:eastAsia="MS Mincho" w:hAnsi="Times New Roman"/>
          <w:sz w:val="24"/>
        </w:rPr>
        <w:t xml:space="preserve"> </w:t>
      </w:r>
      <w:r w:rsidR="00D2638F">
        <w:rPr>
          <w:rFonts w:ascii="Times New Roman" w:hAnsi="Times New Roman" w:cs="Times New Roman"/>
          <w:sz w:val="24"/>
        </w:rPr>
        <w:t>applicant</w:t>
      </w:r>
      <w:r>
        <w:rPr>
          <w:rFonts w:ascii="Times New Roman" w:eastAsia="MS Mincho" w:hAnsi="Times New Roman"/>
          <w:sz w:val="24"/>
        </w:rPr>
        <w:t xml:space="preserve"> making a presentation will be given greater consideration. </w:t>
      </w:r>
    </w:p>
    <w:p w:rsidR="00011B6F" w:rsidRPr="00011B6F" w:rsidRDefault="00011B6F" w:rsidP="00827AF3">
      <w:pPr>
        <w:pStyle w:val="PlainText"/>
        <w:numPr>
          <w:ilvl w:val="0"/>
          <w:numId w:val="15"/>
        </w:numPr>
        <w:rPr>
          <w:rFonts w:ascii="Times New Roman" w:eastAsia="MS Mincho" w:hAnsi="Times New Roman" w:cs="Times New Roman"/>
          <w:sz w:val="24"/>
          <w:szCs w:val="24"/>
        </w:rPr>
      </w:pPr>
      <w:r w:rsidRPr="00011B6F">
        <w:rPr>
          <w:rFonts w:ascii="Times New Roman" w:eastAsia="MS Mincho" w:hAnsi="Times New Roman" w:cs="Times New Roman"/>
          <w:sz w:val="24"/>
          <w:szCs w:val="24"/>
        </w:rPr>
        <w:t>A</w:t>
      </w:r>
      <w:r w:rsidR="00327872">
        <w:rPr>
          <w:rFonts w:ascii="Times New Roman" w:eastAsia="MS Mincho" w:hAnsi="Times New Roman" w:cs="Times New Roman"/>
          <w:sz w:val="24"/>
          <w:szCs w:val="24"/>
        </w:rPr>
        <w:t>n</w:t>
      </w:r>
      <w:r w:rsidRPr="00011B6F">
        <w:rPr>
          <w:rFonts w:ascii="Times New Roman" w:eastAsia="MS Mincho" w:hAnsi="Times New Roman" w:cs="Times New Roman"/>
          <w:sz w:val="24"/>
          <w:szCs w:val="24"/>
        </w:rPr>
        <w:t xml:space="preserve"> </w:t>
      </w:r>
      <w:r w:rsidR="00D2638F">
        <w:rPr>
          <w:rFonts w:ascii="Times New Roman" w:hAnsi="Times New Roman" w:cs="Times New Roman"/>
          <w:sz w:val="24"/>
        </w:rPr>
        <w:t>applicant</w:t>
      </w:r>
      <w:r w:rsidRPr="00011B6F">
        <w:rPr>
          <w:rFonts w:ascii="Times New Roman" w:eastAsia="MS Mincho" w:hAnsi="Times New Roman" w:cs="Times New Roman"/>
          <w:sz w:val="24"/>
          <w:szCs w:val="24"/>
        </w:rPr>
        <w:t xml:space="preserve"> that has never received a grant previously will be given greater consideration</w:t>
      </w:r>
      <w:r w:rsidRPr="00011B6F">
        <w:rPr>
          <w:rFonts w:ascii="Times New Roman" w:eastAsia="MS Mincho" w:hAnsi="Times New Roman" w:cs="Times New Roman"/>
          <w:color w:val="3366FF"/>
          <w:sz w:val="24"/>
          <w:szCs w:val="24"/>
        </w:rPr>
        <w:t xml:space="preserve"> </w:t>
      </w:r>
      <w:r w:rsidRPr="00011B6F">
        <w:rPr>
          <w:rFonts w:ascii="Times New Roman" w:eastAsia="MS Mincho" w:hAnsi="Times New Roman" w:cs="Times New Roman"/>
          <w:sz w:val="24"/>
          <w:szCs w:val="24"/>
        </w:rPr>
        <w:t>over a</w:t>
      </w:r>
      <w:r w:rsidR="00AB0B62">
        <w:rPr>
          <w:rFonts w:ascii="Times New Roman" w:eastAsia="MS Mincho" w:hAnsi="Times New Roman" w:cs="Times New Roman"/>
          <w:sz w:val="24"/>
          <w:szCs w:val="24"/>
        </w:rPr>
        <w:t>n</w:t>
      </w:r>
      <w:r w:rsidRPr="00011B6F">
        <w:rPr>
          <w:rFonts w:ascii="Times New Roman" w:eastAsia="MS Mincho" w:hAnsi="Times New Roman" w:cs="Times New Roman"/>
          <w:sz w:val="24"/>
          <w:szCs w:val="24"/>
        </w:rPr>
        <w:t xml:space="preserve"> </w:t>
      </w:r>
      <w:r w:rsidR="00D2638F">
        <w:rPr>
          <w:rFonts w:ascii="Times New Roman" w:hAnsi="Times New Roman" w:cs="Times New Roman"/>
          <w:sz w:val="24"/>
        </w:rPr>
        <w:t>applicant</w:t>
      </w:r>
      <w:r w:rsidRPr="00011B6F">
        <w:rPr>
          <w:rFonts w:ascii="Times New Roman" w:eastAsia="MS Mincho" w:hAnsi="Times New Roman" w:cs="Times New Roman"/>
          <w:sz w:val="24"/>
          <w:szCs w:val="24"/>
        </w:rPr>
        <w:t xml:space="preserve"> that has.  </w:t>
      </w:r>
    </w:p>
    <w:p w:rsidR="000B51DC" w:rsidRDefault="000B51DC">
      <w:pPr>
        <w:numPr>
          <w:ilvl w:val="0"/>
          <w:numId w:val="4"/>
        </w:numPr>
      </w:pPr>
      <w:r>
        <w:t xml:space="preserve">The </w:t>
      </w:r>
      <w:r w:rsidR="00995A0B">
        <w:t xml:space="preserve">Governor </w:t>
      </w:r>
      <w:r>
        <w:t xml:space="preserve">may choose in any given year not to give a grant.  Reasons for disapproval shall be provided to the applicant.  </w:t>
      </w:r>
    </w:p>
    <w:p w:rsidR="00D2638F" w:rsidRDefault="00D2638F">
      <w:pPr>
        <w:numPr>
          <w:ilvl w:val="0"/>
          <w:numId w:val="4"/>
        </w:numPr>
      </w:pPr>
      <w:r>
        <w:t xml:space="preserve">These guidelines will be considered separately for Region H </w:t>
      </w:r>
      <w:r w:rsidR="00AC2FA5">
        <w:t>l</w:t>
      </w:r>
      <w:r w:rsidR="00995A0B">
        <w:t xml:space="preserve">eadership </w:t>
      </w:r>
      <w:r w:rsidR="00C67C77">
        <w:t xml:space="preserve">and Region H </w:t>
      </w:r>
      <w:r w:rsidR="00AC2FA5">
        <w:t>c</w:t>
      </w:r>
      <w:r w:rsidR="00995A0B">
        <w:t xml:space="preserve">ouncil </w:t>
      </w:r>
      <w:r w:rsidR="00AC2FA5">
        <w:t>r</w:t>
      </w:r>
      <w:r w:rsidR="00995A0B">
        <w:t>epresentative</w:t>
      </w:r>
      <w:r>
        <w:t>. There is a</w:t>
      </w:r>
      <w:r w:rsidR="00752CA7">
        <w:t xml:space="preserve"> separate</w:t>
      </w:r>
      <w:r>
        <w:t xml:space="preserve"> budget for </w:t>
      </w:r>
      <w:r w:rsidR="00752CA7">
        <w:t xml:space="preserve">Region H </w:t>
      </w:r>
      <w:r w:rsidR="00AC2FA5">
        <w:t>l</w:t>
      </w:r>
      <w:r w:rsidR="00995A0B">
        <w:t xml:space="preserve">eadership </w:t>
      </w:r>
      <w:r w:rsidR="00752CA7">
        <w:t xml:space="preserve">and Region H </w:t>
      </w:r>
      <w:r w:rsidR="00AC2FA5">
        <w:t>c</w:t>
      </w:r>
      <w:r w:rsidR="00995A0B">
        <w:t xml:space="preserve">ouncil </w:t>
      </w:r>
      <w:r w:rsidR="00AC2FA5">
        <w:t>r</w:t>
      </w:r>
      <w:r w:rsidR="00995A0B">
        <w:t>epresentatives</w:t>
      </w:r>
      <w:r w:rsidR="00C67C77">
        <w:t>.</w:t>
      </w:r>
    </w:p>
    <w:p w:rsidR="005D16E0" w:rsidRDefault="005D16E0" w:rsidP="005D16E0">
      <w:pPr>
        <w:ind w:left="720"/>
      </w:pPr>
    </w:p>
    <w:p w:rsidR="00270393" w:rsidRDefault="00270393" w:rsidP="00270393">
      <w:pPr>
        <w:pStyle w:val="Heading1"/>
      </w:pPr>
      <w:r>
        <w:t>Guidelines for Reimbursement</w:t>
      </w:r>
    </w:p>
    <w:p w:rsidR="007838EE" w:rsidDel="00270393" w:rsidRDefault="007838EE" w:rsidP="007838EE">
      <w:pPr>
        <w:pStyle w:val="PlainText"/>
        <w:numPr>
          <w:ilvl w:val="0"/>
          <w:numId w:val="3"/>
        </w:numPr>
        <w:rPr>
          <w:rFonts w:ascii="Times New Roman" w:hAnsi="Times New Roman" w:cs="Times New Roman"/>
          <w:sz w:val="24"/>
        </w:rPr>
      </w:pPr>
      <w:r w:rsidDel="00270393">
        <w:rPr>
          <w:rFonts w:ascii="Times New Roman" w:eastAsia="MS Mincho" w:hAnsi="Times New Roman" w:cs="Times New Roman"/>
          <w:sz w:val="24"/>
        </w:rPr>
        <w:t>Grant conditions may include the following:</w:t>
      </w:r>
    </w:p>
    <w:p w:rsidR="007838EE" w:rsidDel="00270393" w:rsidRDefault="007838EE" w:rsidP="00827AF3">
      <w:pPr>
        <w:pStyle w:val="PlainText"/>
        <w:numPr>
          <w:ilvl w:val="0"/>
          <w:numId w:val="16"/>
        </w:numPr>
        <w:rPr>
          <w:rFonts w:ascii="Times New Roman" w:hAnsi="Times New Roman" w:cs="Times New Roman"/>
          <w:sz w:val="24"/>
        </w:rPr>
      </w:pPr>
      <w:r w:rsidDel="00270393">
        <w:rPr>
          <w:rFonts w:ascii="Times New Roman" w:eastAsia="MS Mincho" w:hAnsi="Times New Roman"/>
          <w:sz w:val="24"/>
        </w:rPr>
        <w:t xml:space="preserve">A </w:t>
      </w:r>
      <w:r w:rsidR="00C67C77" w:rsidDel="00270393">
        <w:rPr>
          <w:rFonts w:ascii="Times New Roman" w:eastAsia="MS Mincho" w:hAnsi="Times New Roman"/>
          <w:sz w:val="24"/>
        </w:rPr>
        <w:t xml:space="preserve">liability release </w:t>
      </w:r>
      <w:r w:rsidDel="00270393">
        <w:rPr>
          <w:rFonts w:ascii="Times New Roman" w:eastAsia="MS Mincho" w:hAnsi="Times New Roman"/>
          <w:sz w:val="24"/>
        </w:rPr>
        <w:t xml:space="preserve">form signed by the </w:t>
      </w:r>
      <w:r w:rsidDel="00270393">
        <w:rPr>
          <w:rFonts w:ascii="Times New Roman" w:hAnsi="Times New Roman" w:cs="Times New Roman"/>
          <w:sz w:val="24"/>
        </w:rPr>
        <w:t>applicant</w:t>
      </w:r>
      <w:r w:rsidDel="00270393">
        <w:rPr>
          <w:rFonts w:ascii="Times New Roman" w:eastAsia="MS Mincho" w:hAnsi="Times New Roman"/>
          <w:sz w:val="24"/>
        </w:rPr>
        <w:t xml:space="preserve"> </w:t>
      </w:r>
      <w:r w:rsidR="005D16E0">
        <w:rPr>
          <w:rFonts w:ascii="Times New Roman" w:eastAsia="MS Mincho" w:hAnsi="Times New Roman"/>
          <w:sz w:val="24"/>
        </w:rPr>
        <w:t xml:space="preserve">prior to the event </w:t>
      </w:r>
      <w:r w:rsidDel="00270393">
        <w:rPr>
          <w:rFonts w:ascii="Times New Roman" w:eastAsia="MS Mincho" w:hAnsi="Times New Roman"/>
          <w:sz w:val="24"/>
        </w:rPr>
        <w:t xml:space="preserve">to release SWE from any </w:t>
      </w:r>
      <w:r w:rsidDel="00270393">
        <w:rPr>
          <w:rFonts w:ascii="Times New Roman" w:eastAsia="MS Mincho" w:hAnsi="Times New Roman" w:cs="Times New Roman"/>
          <w:sz w:val="24"/>
        </w:rPr>
        <w:t>liabilities that may result from travel</w:t>
      </w:r>
    </w:p>
    <w:p w:rsidR="007838EE" w:rsidRPr="0003562E" w:rsidDel="00270393" w:rsidRDefault="007838EE" w:rsidP="00827AF3">
      <w:pPr>
        <w:pStyle w:val="PlainText"/>
        <w:numPr>
          <w:ilvl w:val="0"/>
          <w:numId w:val="16"/>
        </w:numPr>
        <w:rPr>
          <w:rFonts w:ascii="Times New Roman" w:eastAsia="MS Mincho" w:hAnsi="Times New Roman" w:cs="Times New Roman"/>
          <w:sz w:val="24"/>
        </w:rPr>
      </w:pPr>
      <w:r w:rsidDel="00270393">
        <w:rPr>
          <w:rFonts w:ascii="Times New Roman" w:hAnsi="Times New Roman" w:cs="Times New Roman"/>
          <w:sz w:val="24"/>
        </w:rPr>
        <w:t xml:space="preserve">Proof of registration </w:t>
      </w:r>
      <w:r>
        <w:rPr>
          <w:rFonts w:ascii="Times New Roman" w:hAnsi="Times New Roman" w:cs="Times New Roman"/>
          <w:sz w:val="24"/>
        </w:rPr>
        <w:t>or attendance</w:t>
      </w:r>
    </w:p>
    <w:p w:rsidR="007838EE" w:rsidDel="00270393" w:rsidRDefault="007838EE" w:rsidP="00827AF3">
      <w:pPr>
        <w:pStyle w:val="PlainText"/>
        <w:numPr>
          <w:ilvl w:val="0"/>
          <w:numId w:val="16"/>
        </w:numPr>
        <w:rPr>
          <w:rFonts w:ascii="Times New Roman" w:eastAsia="MS Mincho" w:hAnsi="Times New Roman" w:cs="Times New Roman"/>
          <w:sz w:val="24"/>
        </w:rPr>
      </w:pPr>
      <w:r w:rsidDel="00270393">
        <w:rPr>
          <w:rFonts w:ascii="Times New Roman" w:hAnsi="Times New Roman" w:cs="Times New Roman"/>
          <w:sz w:val="24"/>
        </w:rPr>
        <w:t xml:space="preserve">Receipts related to travel </w:t>
      </w:r>
    </w:p>
    <w:p w:rsidR="007838EE" w:rsidDel="00270393" w:rsidRDefault="007838EE" w:rsidP="00827AF3">
      <w:pPr>
        <w:pStyle w:val="PlainText"/>
        <w:numPr>
          <w:ilvl w:val="0"/>
          <w:numId w:val="16"/>
        </w:numPr>
        <w:rPr>
          <w:rFonts w:ascii="Times New Roman" w:eastAsia="MS Mincho" w:hAnsi="Times New Roman" w:cs="Times New Roman"/>
          <w:sz w:val="24"/>
        </w:rPr>
      </w:pPr>
      <w:r w:rsidDel="00270393">
        <w:rPr>
          <w:rFonts w:ascii="Times New Roman" w:hAnsi="Times New Roman" w:cs="Times New Roman"/>
          <w:sz w:val="24"/>
        </w:rPr>
        <w:t xml:space="preserve">Other requirements as determined necessary by the </w:t>
      </w:r>
      <w:r w:rsidR="00AC2FA5">
        <w:rPr>
          <w:rFonts w:ascii="Times New Roman" w:hAnsi="Times New Roman" w:cs="Times New Roman"/>
          <w:sz w:val="24"/>
        </w:rPr>
        <w:t>r</w:t>
      </w:r>
      <w:r w:rsidR="00995A0B" w:rsidDel="00270393">
        <w:rPr>
          <w:rFonts w:ascii="Times New Roman" w:hAnsi="Times New Roman" w:cs="Times New Roman"/>
          <w:sz w:val="24"/>
        </w:rPr>
        <w:t xml:space="preserve">egion </w:t>
      </w:r>
      <w:r w:rsidR="00AC2FA5">
        <w:rPr>
          <w:rFonts w:ascii="Times New Roman" w:hAnsi="Times New Roman" w:cs="Times New Roman"/>
          <w:sz w:val="24"/>
        </w:rPr>
        <w:t>t</w:t>
      </w:r>
      <w:r w:rsidR="00995A0B" w:rsidDel="00270393">
        <w:rPr>
          <w:rFonts w:ascii="Times New Roman" w:hAnsi="Times New Roman" w:cs="Times New Roman"/>
          <w:sz w:val="24"/>
        </w:rPr>
        <w:t xml:space="preserve">reasurer </w:t>
      </w:r>
      <w:r w:rsidR="00086DA1" w:rsidDel="00270393">
        <w:rPr>
          <w:rFonts w:ascii="Times New Roman" w:hAnsi="Times New Roman" w:cs="Times New Roman"/>
          <w:sz w:val="24"/>
        </w:rPr>
        <w:t xml:space="preserve">or </w:t>
      </w:r>
      <w:r w:rsidR="00AC2FA5">
        <w:rPr>
          <w:rFonts w:ascii="Times New Roman" w:hAnsi="Times New Roman" w:cs="Times New Roman"/>
          <w:sz w:val="24"/>
        </w:rPr>
        <w:t>g</w:t>
      </w:r>
      <w:r w:rsidR="00995A0B" w:rsidDel="00270393">
        <w:rPr>
          <w:rFonts w:ascii="Times New Roman" w:hAnsi="Times New Roman" w:cs="Times New Roman"/>
          <w:sz w:val="24"/>
        </w:rPr>
        <w:t>overnor</w:t>
      </w:r>
    </w:p>
    <w:p w:rsidR="007838EE" w:rsidRPr="00D50EE3" w:rsidRDefault="007838EE" w:rsidP="007838EE">
      <w:pPr>
        <w:pStyle w:val="PlainText"/>
        <w:numPr>
          <w:ilvl w:val="0"/>
          <w:numId w:val="3"/>
        </w:numPr>
        <w:rPr>
          <w:rFonts w:ascii="Times New Roman" w:eastAsia="MS Mincho" w:hAnsi="Times New Roman" w:cs="Times New Roman"/>
          <w:sz w:val="24"/>
        </w:rPr>
      </w:pPr>
      <w:r w:rsidDel="00270393">
        <w:rPr>
          <w:rFonts w:ascii="Times New Roman" w:eastAsia="MS Mincho" w:hAnsi="Times New Roman"/>
          <w:sz w:val="24"/>
        </w:rPr>
        <w:t xml:space="preserve">If the </w:t>
      </w:r>
      <w:r w:rsidDel="00270393">
        <w:rPr>
          <w:rFonts w:ascii="Times New Roman" w:hAnsi="Times New Roman" w:cs="Times New Roman"/>
          <w:sz w:val="24"/>
        </w:rPr>
        <w:t>applicant</w:t>
      </w:r>
      <w:r w:rsidDel="00270393">
        <w:rPr>
          <w:rFonts w:ascii="Times New Roman" w:eastAsia="MS Mincho" w:hAnsi="Times New Roman"/>
          <w:sz w:val="24"/>
        </w:rPr>
        <w:t xml:space="preserve"> is not able to use the travel grant by meeting all the conditions</w:t>
      </w:r>
      <w:r w:rsidR="00995A0B">
        <w:rPr>
          <w:rFonts w:ascii="Times New Roman" w:eastAsia="MS Mincho" w:hAnsi="Times New Roman"/>
          <w:sz w:val="24"/>
        </w:rPr>
        <w:t>,</w:t>
      </w:r>
      <w:r w:rsidDel="00270393">
        <w:rPr>
          <w:rFonts w:ascii="Times New Roman" w:eastAsia="MS Mincho" w:hAnsi="Times New Roman"/>
          <w:sz w:val="24"/>
        </w:rPr>
        <w:t xml:space="preserve"> then the money will be returned to the </w:t>
      </w:r>
      <w:r w:rsidR="00AC2FA5">
        <w:rPr>
          <w:rFonts w:ascii="Times New Roman" w:eastAsia="MS Mincho" w:hAnsi="Times New Roman"/>
          <w:sz w:val="24"/>
        </w:rPr>
        <w:t>r</w:t>
      </w:r>
      <w:r w:rsidR="003728A9" w:rsidDel="00270393">
        <w:rPr>
          <w:rFonts w:ascii="Times New Roman" w:eastAsia="MS Mincho" w:hAnsi="Times New Roman"/>
          <w:sz w:val="24"/>
        </w:rPr>
        <w:t>egion</w:t>
      </w:r>
      <w:r w:rsidDel="00270393">
        <w:rPr>
          <w:rFonts w:ascii="Times New Roman" w:eastAsia="MS Mincho" w:hAnsi="Times New Roman"/>
          <w:sz w:val="24"/>
        </w:rPr>
        <w:t>.</w:t>
      </w:r>
    </w:p>
    <w:p w:rsidR="00D50EE3" w:rsidRPr="007838EE" w:rsidDel="00270393" w:rsidRDefault="00D50EE3" w:rsidP="007838EE">
      <w:pPr>
        <w:pStyle w:val="PlainText"/>
        <w:numPr>
          <w:ilvl w:val="0"/>
          <w:numId w:val="3"/>
        </w:numPr>
        <w:rPr>
          <w:rFonts w:ascii="Times New Roman" w:eastAsia="MS Mincho" w:hAnsi="Times New Roman" w:cs="Times New Roman"/>
          <w:sz w:val="24"/>
        </w:rPr>
      </w:pPr>
      <w:r>
        <w:rPr>
          <w:rFonts w:ascii="Times New Roman" w:eastAsia="MS Mincho" w:hAnsi="Times New Roman"/>
          <w:sz w:val="24"/>
        </w:rPr>
        <w:t>If the actual costs incurred are less than the amount of the grant approved for an individual, only the actual out of pocket expense shall be reimbursed</w:t>
      </w:r>
      <w:r w:rsidR="005D16E0">
        <w:rPr>
          <w:rFonts w:ascii="Times New Roman" w:eastAsia="MS Mincho" w:hAnsi="Times New Roman"/>
          <w:sz w:val="24"/>
        </w:rPr>
        <w:t>, at 75% of actual cost</w:t>
      </w:r>
      <w:r>
        <w:rPr>
          <w:rFonts w:ascii="Times New Roman" w:eastAsia="MS Mincho" w:hAnsi="Times New Roman"/>
          <w:sz w:val="24"/>
        </w:rPr>
        <w:t>.</w:t>
      </w:r>
    </w:p>
    <w:p w:rsidR="00270393" w:rsidRDefault="007838EE" w:rsidP="007838EE">
      <w:pPr>
        <w:pStyle w:val="ListParagraph"/>
        <w:numPr>
          <w:ilvl w:val="0"/>
          <w:numId w:val="3"/>
        </w:numPr>
      </w:pPr>
      <w:r>
        <w:t>Required documents must be submitted within 30 days of the end of the event.</w:t>
      </w:r>
    </w:p>
    <w:p w:rsidR="007838EE" w:rsidRDefault="007838EE" w:rsidP="007838EE">
      <w:pPr>
        <w:pStyle w:val="ListParagraph"/>
        <w:numPr>
          <w:ilvl w:val="0"/>
          <w:numId w:val="3"/>
        </w:numPr>
      </w:pPr>
      <w:r>
        <w:t xml:space="preserve">Treasurer will issue reimbursement checks within 30 days of receipt of documentation.  </w:t>
      </w:r>
    </w:p>
    <w:p w:rsidR="007838EE" w:rsidRPr="00270393" w:rsidRDefault="007838EE" w:rsidP="007838EE"/>
    <w:p w:rsidR="005D328A" w:rsidRDefault="005D328A" w:rsidP="005D328A">
      <w:pPr>
        <w:pStyle w:val="Heading1"/>
      </w:pPr>
      <w:r>
        <w:t>Revision History</w:t>
      </w:r>
    </w:p>
    <w:p w:rsidR="000B51DC" w:rsidRDefault="005D328A" w:rsidP="005D328A">
      <w:pPr>
        <w:numPr>
          <w:ilvl w:val="0"/>
          <w:numId w:val="6"/>
        </w:numPr>
      </w:pPr>
      <w:r>
        <w:t>Monday, September 17, 2007</w:t>
      </w:r>
      <w:r w:rsidR="000B51DC">
        <w:t>– Revision A</w:t>
      </w:r>
      <w:r w:rsidR="00995A0B">
        <w:t>.</w:t>
      </w:r>
    </w:p>
    <w:p w:rsidR="00321D33" w:rsidRDefault="00321D33" w:rsidP="005D328A">
      <w:pPr>
        <w:numPr>
          <w:ilvl w:val="0"/>
          <w:numId w:val="6"/>
        </w:numPr>
      </w:pPr>
      <w:r>
        <w:t>August 18, 2008 – Updated to include travel to Region Meeting and dates for FY09</w:t>
      </w:r>
      <w:r w:rsidR="00995A0B">
        <w:t>.</w:t>
      </w:r>
    </w:p>
    <w:p w:rsidR="00876B04" w:rsidRDefault="00876B04" w:rsidP="00876B04">
      <w:pPr>
        <w:numPr>
          <w:ilvl w:val="0"/>
          <w:numId w:val="6"/>
        </w:numPr>
      </w:pPr>
      <w:r>
        <w:t>May 19, 2009 – Updated to include travel to Region Caucus and dates for FY10</w:t>
      </w:r>
      <w:r w:rsidR="00995A0B">
        <w:t>.</w:t>
      </w:r>
    </w:p>
    <w:p w:rsidR="00D2407C" w:rsidRDefault="00D2407C" w:rsidP="00D2407C">
      <w:pPr>
        <w:numPr>
          <w:ilvl w:val="0"/>
          <w:numId w:val="6"/>
        </w:numPr>
      </w:pPr>
      <w:r>
        <w:t>August 1, 2010 – Updated to include COR and Leadership travel to SWE National Conference and dates for FY11</w:t>
      </w:r>
      <w:r w:rsidR="00995A0B">
        <w:t>.</w:t>
      </w:r>
    </w:p>
    <w:p w:rsidR="00823CE0" w:rsidRDefault="00823CE0" w:rsidP="00D2407C">
      <w:pPr>
        <w:numPr>
          <w:ilvl w:val="0"/>
          <w:numId w:val="6"/>
        </w:numPr>
      </w:pPr>
      <w:r>
        <w:t>September 7, 2010- Transferred date specific information to Travel Grant Form</w:t>
      </w:r>
      <w:r w:rsidR="00995A0B">
        <w:t>.</w:t>
      </w:r>
    </w:p>
    <w:p w:rsidR="00CE763A" w:rsidRDefault="00CE763A" w:rsidP="00D2407C">
      <w:pPr>
        <w:numPr>
          <w:ilvl w:val="0"/>
          <w:numId w:val="6"/>
        </w:numPr>
      </w:pPr>
      <w:r>
        <w:lastRenderedPageBreak/>
        <w:t>September 9, 2010- Revised SWE National Conference to SWE Annual Conference, Fall Caucus to Region H HART (Heartland Annual Roundtable) meeting, and COR to Region H Council Representative</w:t>
      </w:r>
      <w:r w:rsidR="00995A0B">
        <w:t>.</w:t>
      </w:r>
    </w:p>
    <w:p w:rsidR="006B3B18" w:rsidRDefault="005D16E0">
      <w:pPr>
        <w:pStyle w:val="ListParagraph"/>
        <w:numPr>
          <w:ilvl w:val="0"/>
          <w:numId w:val="6"/>
        </w:numPr>
      </w:pPr>
      <w:r>
        <w:t>January 17, 2012</w:t>
      </w:r>
      <w:r w:rsidR="007838EE">
        <w:t xml:space="preserve"> – Added senate meetings, policy for mileage </w:t>
      </w:r>
      <w:r>
        <w:t xml:space="preserve">and rental car </w:t>
      </w:r>
      <w:r w:rsidR="007838EE">
        <w:t>reimbursement, and reimbursement deadlines.  Also revised verbiage to match current practice.</w:t>
      </w:r>
      <w:bookmarkStart w:id="0" w:name="_GoBack"/>
      <w:bookmarkEnd w:id="0"/>
    </w:p>
    <w:p w:rsidR="00995A0B" w:rsidRDefault="00273C98">
      <w:pPr>
        <w:pStyle w:val="ListParagraph"/>
        <w:numPr>
          <w:ilvl w:val="0"/>
          <w:numId w:val="6"/>
        </w:numPr>
      </w:pPr>
      <w:r>
        <w:t>June</w:t>
      </w:r>
      <w:r w:rsidR="00995A0B">
        <w:t xml:space="preserve"> </w:t>
      </w:r>
      <w:r>
        <w:t>18</w:t>
      </w:r>
      <w:r w:rsidR="00995A0B">
        <w:t>, 2015 – Deleted alternate senator, revised verbiage to match current practice.</w:t>
      </w:r>
    </w:p>
    <w:p w:rsidR="007B5A52" w:rsidRDefault="007B5A52" w:rsidP="005D328A"/>
    <w:sectPr w:rsidR="007B5A52" w:rsidSect="00827AF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85" w:rsidRDefault="008C5385">
      <w:r>
        <w:separator/>
      </w:r>
    </w:p>
  </w:endnote>
  <w:endnote w:type="continuationSeparator" w:id="0">
    <w:p w:rsidR="008C5385" w:rsidRDefault="008C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C9" w:rsidRDefault="003C29C9" w:rsidP="00E94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29C9" w:rsidRDefault="003C29C9">
    <w:pPr>
      <w:pStyle w:val="Footer"/>
      <w:ind w:right="360"/>
      <w:pPrChange w:id="1" w:author="Betty" w:date="2011-12-30T18:20: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C9" w:rsidRDefault="003C29C9" w:rsidP="00E94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AB7">
      <w:rPr>
        <w:rStyle w:val="PageNumber"/>
        <w:noProof/>
      </w:rPr>
      <w:t>4</w:t>
    </w:r>
    <w:r>
      <w:rPr>
        <w:rStyle w:val="PageNumber"/>
      </w:rPr>
      <w:fldChar w:fldCharType="end"/>
    </w:r>
  </w:p>
  <w:p w:rsidR="003C29C9" w:rsidRDefault="003C29C9" w:rsidP="003C29C9">
    <w:pPr>
      <w:pStyle w:val="Footer"/>
      <w:tabs>
        <w:tab w:val="clear" w:pos="8640"/>
        <w:tab w:val="right" w:pos="9630"/>
      </w:tabs>
    </w:pPr>
    <w:r>
      <w:t xml:space="preserve">Approved by the Region H </w:t>
    </w:r>
    <w:r w:rsidR="00AC2FA5">
      <w:t>c</w:t>
    </w:r>
    <w:r w:rsidR="003728A9">
      <w:t xml:space="preserve">ouncil </w:t>
    </w:r>
    <w:r>
      <w:t xml:space="preserve">on </w:t>
    </w:r>
    <w:r w:rsidR="00273C98">
      <w:t>06</w:t>
    </w:r>
    <w:r>
      <w:t>-</w:t>
    </w:r>
    <w:r w:rsidR="00273C98">
      <w:t>18</w:t>
    </w:r>
    <w:r>
      <w:t>-</w:t>
    </w:r>
    <w:r w:rsidR="00273C98">
      <w:t>15</w:t>
    </w:r>
    <w:r>
      <w:tab/>
      <w:t xml:space="preserve">Page </w:t>
    </w:r>
  </w:p>
  <w:p w:rsidR="003C29C9" w:rsidRDefault="003C29C9" w:rsidP="003C29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85" w:rsidRDefault="008C5385">
      <w:r>
        <w:separator/>
      </w:r>
    </w:p>
  </w:footnote>
  <w:footnote w:type="continuationSeparator" w:id="0">
    <w:p w:rsidR="008C5385" w:rsidRDefault="008C5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77" w:rsidRDefault="00BB2AB7">
    <w:pPr>
      <w:pStyle w:val="Header"/>
      <w:jc w:val="center"/>
    </w:pPr>
    <w:r>
      <w:rPr>
        <w:noProof/>
      </w:rPr>
      <w:drawing>
        <wp:inline distT="0" distB="0" distL="0" distR="0" wp14:anchorId="0D30BE7D" wp14:editId="22088C57">
          <wp:extent cx="2819400" cy="1647825"/>
          <wp:effectExtent l="0" t="0" r="0" b="9525"/>
          <wp:docPr id="1" name="Picture 1" descr="C:\Users\dayna\Desktop\New folder\SWE_Logo_Region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na\Desktop\New folder\SWE_Logo_Region_H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1647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2EB"/>
    <w:multiLevelType w:val="hybridMultilevel"/>
    <w:tmpl w:val="3656D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095899"/>
    <w:multiLevelType w:val="multilevel"/>
    <w:tmpl w:val="425077E4"/>
    <w:lvl w:ilvl="0">
      <w:numFmt w:val="bullet"/>
      <w:lvlText w:val=""/>
      <w:lvlJc w:val="left"/>
      <w:pPr>
        <w:ind w:left="1440" w:hanging="360"/>
      </w:pPr>
      <w:rPr>
        <w:rFonts w:ascii="Wingdings" w:eastAsia="Calibri"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FE16311"/>
    <w:multiLevelType w:val="hybridMultilevel"/>
    <w:tmpl w:val="B21A0D00"/>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6252C36"/>
    <w:multiLevelType w:val="hybridMultilevel"/>
    <w:tmpl w:val="BA9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26006"/>
    <w:multiLevelType w:val="hybridMultilevel"/>
    <w:tmpl w:val="425077E4"/>
    <w:lvl w:ilvl="0" w:tplc="C1043C74">
      <w:numFmt w:val="bullet"/>
      <w:lvlText w:val=""/>
      <w:lvlJc w:val="left"/>
      <w:pPr>
        <w:ind w:left="1440" w:hanging="360"/>
      </w:pPr>
      <w:rPr>
        <w:rFonts w:ascii="Wingdings" w:eastAsia="Calibri"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3E7894"/>
    <w:multiLevelType w:val="hybridMultilevel"/>
    <w:tmpl w:val="40C63C00"/>
    <w:lvl w:ilvl="0" w:tplc="04090003">
      <w:start w:val="1"/>
      <w:numFmt w:val="bullet"/>
      <w:lvlText w:val="o"/>
      <w:lvlJc w:val="left"/>
      <w:pPr>
        <w:tabs>
          <w:tab w:val="num" w:pos="1080"/>
        </w:tabs>
        <w:ind w:left="1080" w:hanging="360"/>
      </w:pPr>
      <w:rPr>
        <w:rFonts w:ascii="Courier New" w:hAnsi="Courier New" w:cs="Courier New" w:hint="default"/>
      </w:rPr>
    </w:lvl>
    <w:lvl w:ilvl="1" w:tplc="076C31F2" w:tentative="1">
      <w:start w:val="1"/>
      <w:numFmt w:val="lowerLetter"/>
      <w:lvlText w:val="%2."/>
      <w:lvlJc w:val="left"/>
      <w:pPr>
        <w:tabs>
          <w:tab w:val="num" w:pos="1800"/>
        </w:tabs>
        <w:ind w:left="1800" w:hanging="360"/>
      </w:pPr>
    </w:lvl>
    <w:lvl w:ilvl="2" w:tplc="5E4CF3E8" w:tentative="1">
      <w:start w:val="1"/>
      <w:numFmt w:val="lowerRoman"/>
      <w:lvlText w:val="%3."/>
      <w:lvlJc w:val="right"/>
      <w:pPr>
        <w:tabs>
          <w:tab w:val="num" w:pos="2520"/>
        </w:tabs>
        <w:ind w:left="2520" w:hanging="180"/>
      </w:pPr>
    </w:lvl>
    <w:lvl w:ilvl="3" w:tplc="9596FF26" w:tentative="1">
      <w:start w:val="1"/>
      <w:numFmt w:val="decimal"/>
      <w:lvlText w:val="%4."/>
      <w:lvlJc w:val="left"/>
      <w:pPr>
        <w:tabs>
          <w:tab w:val="num" w:pos="3240"/>
        </w:tabs>
        <w:ind w:left="3240" w:hanging="360"/>
      </w:pPr>
    </w:lvl>
    <w:lvl w:ilvl="4" w:tplc="0C36CA58" w:tentative="1">
      <w:start w:val="1"/>
      <w:numFmt w:val="lowerLetter"/>
      <w:lvlText w:val="%5."/>
      <w:lvlJc w:val="left"/>
      <w:pPr>
        <w:tabs>
          <w:tab w:val="num" w:pos="3960"/>
        </w:tabs>
        <w:ind w:left="3960" w:hanging="360"/>
      </w:pPr>
    </w:lvl>
    <w:lvl w:ilvl="5" w:tplc="3F701548" w:tentative="1">
      <w:start w:val="1"/>
      <w:numFmt w:val="lowerRoman"/>
      <w:lvlText w:val="%6."/>
      <w:lvlJc w:val="right"/>
      <w:pPr>
        <w:tabs>
          <w:tab w:val="num" w:pos="4680"/>
        </w:tabs>
        <w:ind w:left="4680" w:hanging="180"/>
      </w:pPr>
    </w:lvl>
    <w:lvl w:ilvl="6" w:tplc="A8B46A24" w:tentative="1">
      <w:start w:val="1"/>
      <w:numFmt w:val="decimal"/>
      <w:lvlText w:val="%7."/>
      <w:lvlJc w:val="left"/>
      <w:pPr>
        <w:tabs>
          <w:tab w:val="num" w:pos="5400"/>
        </w:tabs>
        <w:ind w:left="5400" w:hanging="360"/>
      </w:pPr>
    </w:lvl>
    <w:lvl w:ilvl="7" w:tplc="419C8D32" w:tentative="1">
      <w:start w:val="1"/>
      <w:numFmt w:val="lowerLetter"/>
      <w:lvlText w:val="%8."/>
      <w:lvlJc w:val="left"/>
      <w:pPr>
        <w:tabs>
          <w:tab w:val="num" w:pos="6120"/>
        </w:tabs>
        <w:ind w:left="6120" w:hanging="360"/>
      </w:pPr>
    </w:lvl>
    <w:lvl w:ilvl="8" w:tplc="33140CEA" w:tentative="1">
      <w:start w:val="1"/>
      <w:numFmt w:val="lowerRoman"/>
      <w:lvlText w:val="%9."/>
      <w:lvlJc w:val="right"/>
      <w:pPr>
        <w:tabs>
          <w:tab w:val="num" w:pos="6840"/>
        </w:tabs>
        <w:ind w:left="6840" w:hanging="180"/>
      </w:pPr>
    </w:lvl>
  </w:abstractNum>
  <w:abstractNum w:abstractNumId="6">
    <w:nsid w:val="26F00B8E"/>
    <w:multiLevelType w:val="hybridMultilevel"/>
    <w:tmpl w:val="E84E8BDA"/>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decimal"/>
      <w:lvlText w:val="%2."/>
      <w:lvlJc w:val="left"/>
      <w:pPr>
        <w:tabs>
          <w:tab w:val="num" w:pos="1800"/>
        </w:tabs>
        <w:ind w:left="1800" w:hanging="360"/>
      </w:p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AC049FF"/>
    <w:multiLevelType w:val="hybridMultilevel"/>
    <w:tmpl w:val="1FAC6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A63445"/>
    <w:multiLevelType w:val="hybridMultilevel"/>
    <w:tmpl w:val="EBB4F22E"/>
    <w:lvl w:ilvl="0" w:tplc="2D44166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FF1CC1"/>
    <w:multiLevelType w:val="hybridMultilevel"/>
    <w:tmpl w:val="9E246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EA2F91"/>
    <w:multiLevelType w:val="hybridMultilevel"/>
    <w:tmpl w:val="A566E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AA52D3"/>
    <w:multiLevelType w:val="hybridMultilevel"/>
    <w:tmpl w:val="7A162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C907E8"/>
    <w:multiLevelType w:val="hybridMultilevel"/>
    <w:tmpl w:val="05C83A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5B1214B7"/>
    <w:multiLevelType w:val="hybridMultilevel"/>
    <w:tmpl w:val="F2042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853FEB"/>
    <w:multiLevelType w:val="hybridMultilevel"/>
    <w:tmpl w:val="05C83A08"/>
    <w:lvl w:ilvl="0" w:tplc="04090001">
      <w:start w:val="1"/>
      <w:numFmt w:val="bullet"/>
      <w:lvlText w:val=""/>
      <w:lvlJc w:val="left"/>
      <w:pPr>
        <w:tabs>
          <w:tab w:val="num" w:pos="1080"/>
        </w:tabs>
        <w:ind w:left="1080" w:hanging="360"/>
      </w:pPr>
      <w:rPr>
        <w:rFonts w:ascii="Symbol" w:hAnsi="Symbol" w:hint="default"/>
      </w:rPr>
    </w:lvl>
    <w:lvl w:ilvl="1" w:tplc="076C31F2" w:tentative="1">
      <w:start w:val="1"/>
      <w:numFmt w:val="lowerLetter"/>
      <w:lvlText w:val="%2."/>
      <w:lvlJc w:val="left"/>
      <w:pPr>
        <w:tabs>
          <w:tab w:val="num" w:pos="1800"/>
        </w:tabs>
        <w:ind w:left="1800" w:hanging="360"/>
      </w:pPr>
    </w:lvl>
    <w:lvl w:ilvl="2" w:tplc="5E4CF3E8" w:tentative="1">
      <w:start w:val="1"/>
      <w:numFmt w:val="lowerRoman"/>
      <w:lvlText w:val="%3."/>
      <w:lvlJc w:val="right"/>
      <w:pPr>
        <w:tabs>
          <w:tab w:val="num" w:pos="2520"/>
        </w:tabs>
        <w:ind w:left="2520" w:hanging="180"/>
      </w:pPr>
    </w:lvl>
    <w:lvl w:ilvl="3" w:tplc="9596FF26" w:tentative="1">
      <w:start w:val="1"/>
      <w:numFmt w:val="decimal"/>
      <w:lvlText w:val="%4."/>
      <w:lvlJc w:val="left"/>
      <w:pPr>
        <w:tabs>
          <w:tab w:val="num" w:pos="3240"/>
        </w:tabs>
        <w:ind w:left="3240" w:hanging="360"/>
      </w:pPr>
    </w:lvl>
    <w:lvl w:ilvl="4" w:tplc="0C36CA58" w:tentative="1">
      <w:start w:val="1"/>
      <w:numFmt w:val="lowerLetter"/>
      <w:lvlText w:val="%5."/>
      <w:lvlJc w:val="left"/>
      <w:pPr>
        <w:tabs>
          <w:tab w:val="num" w:pos="3960"/>
        </w:tabs>
        <w:ind w:left="3960" w:hanging="360"/>
      </w:pPr>
    </w:lvl>
    <w:lvl w:ilvl="5" w:tplc="3F701548" w:tentative="1">
      <w:start w:val="1"/>
      <w:numFmt w:val="lowerRoman"/>
      <w:lvlText w:val="%6."/>
      <w:lvlJc w:val="right"/>
      <w:pPr>
        <w:tabs>
          <w:tab w:val="num" w:pos="4680"/>
        </w:tabs>
        <w:ind w:left="4680" w:hanging="180"/>
      </w:pPr>
    </w:lvl>
    <w:lvl w:ilvl="6" w:tplc="A8B46A24" w:tentative="1">
      <w:start w:val="1"/>
      <w:numFmt w:val="decimal"/>
      <w:lvlText w:val="%7."/>
      <w:lvlJc w:val="left"/>
      <w:pPr>
        <w:tabs>
          <w:tab w:val="num" w:pos="5400"/>
        </w:tabs>
        <w:ind w:left="5400" w:hanging="360"/>
      </w:pPr>
    </w:lvl>
    <w:lvl w:ilvl="7" w:tplc="419C8D32" w:tentative="1">
      <w:start w:val="1"/>
      <w:numFmt w:val="lowerLetter"/>
      <w:lvlText w:val="%8."/>
      <w:lvlJc w:val="left"/>
      <w:pPr>
        <w:tabs>
          <w:tab w:val="num" w:pos="6120"/>
        </w:tabs>
        <w:ind w:left="6120" w:hanging="360"/>
      </w:pPr>
    </w:lvl>
    <w:lvl w:ilvl="8" w:tplc="33140CEA" w:tentative="1">
      <w:start w:val="1"/>
      <w:numFmt w:val="lowerRoman"/>
      <w:lvlText w:val="%9."/>
      <w:lvlJc w:val="right"/>
      <w:pPr>
        <w:tabs>
          <w:tab w:val="num" w:pos="6840"/>
        </w:tabs>
        <w:ind w:left="6840" w:hanging="180"/>
      </w:pPr>
    </w:lvl>
  </w:abstractNum>
  <w:abstractNum w:abstractNumId="15">
    <w:nsid w:val="677A1278"/>
    <w:multiLevelType w:val="hybridMultilevel"/>
    <w:tmpl w:val="768C498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7"/>
  </w:num>
  <w:num w:numId="2">
    <w:abstractNumId w:val="11"/>
  </w:num>
  <w:num w:numId="3">
    <w:abstractNumId w:val="10"/>
  </w:num>
  <w:num w:numId="4">
    <w:abstractNumId w:val="9"/>
  </w:num>
  <w:num w:numId="5">
    <w:abstractNumId w:val="0"/>
  </w:num>
  <w:num w:numId="6">
    <w:abstractNumId w:val="13"/>
  </w:num>
  <w:num w:numId="7">
    <w:abstractNumId w:val="12"/>
  </w:num>
  <w:num w:numId="8">
    <w:abstractNumId w:val="15"/>
  </w:num>
  <w:num w:numId="9">
    <w:abstractNumId w:val="2"/>
  </w:num>
  <w:num w:numId="10">
    <w:abstractNumId w:val="14"/>
  </w:num>
  <w:num w:numId="11">
    <w:abstractNumId w:val="3"/>
  </w:num>
  <w:num w:numId="12">
    <w:abstractNumId w:val="4"/>
  </w:num>
  <w:num w:numId="13">
    <w:abstractNumId w:val="1"/>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C4"/>
    <w:rsid w:val="00011B6F"/>
    <w:rsid w:val="00030C51"/>
    <w:rsid w:val="0003562E"/>
    <w:rsid w:val="0006731D"/>
    <w:rsid w:val="00067358"/>
    <w:rsid w:val="00086DA1"/>
    <w:rsid w:val="000A5A58"/>
    <w:rsid w:val="000B51DC"/>
    <w:rsid w:val="000E092C"/>
    <w:rsid w:val="00107146"/>
    <w:rsid w:val="00133507"/>
    <w:rsid w:val="00176422"/>
    <w:rsid w:val="001857CE"/>
    <w:rsid w:val="00192BD6"/>
    <w:rsid w:val="001D6F19"/>
    <w:rsid w:val="00210C5D"/>
    <w:rsid w:val="00270393"/>
    <w:rsid w:val="00273C98"/>
    <w:rsid w:val="002A1795"/>
    <w:rsid w:val="002C477A"/>
    <w:rsid w:val="00321D33"/>
    <w:rsid w:val="00323DE8"/>
    <w:rsid w:val="00327872"/>
    <w:rsid w:val="003728A9"/>
    <w:rsid w:val="0038611F"/>
    <w:rsid w:val="003B2D3B"/>
    <w:rsid w:val="003C29C9"/>
    <w:rsid w:val="003D2021"/>
    <w:rsid w:val="003E66E9"/>
    <w:rsid w:val="003F76A5"/>
    <w:rsid w:val="0042230D"/>
    <w:rsid w:val="00430107"/>
    <w:rsid w:val="00443181"/>
    <w:rsid w:val="00446652"/>
    <w:rsid w:val="00450CD1"/>
    <w:rsid w:val="004818C0"/>
    <w:rsid w:val="0049664A"/>
    <w:rsid w:val="004A07BA"/>
    <w:rsid w:val="004C10C4"/>
    <w:rsid w:val="004E5291"/>
    <w:rsid w:val="004F7B1F"/>
    <w:rsid w:val="005012F5"/>
    <w:rsid w:val="0054116A"/>
    <w:rsid w:val="005C0069"/>
    <w:rsid w:val="005D16E0"/>
    <w:rsid w:val="005D328A"/>
    <w:rsid w:val="00604DC6"/>
    <w:rsid w:val="006058BA"/>
    <w:rsid w:val="00635A47"/>
    <w:rsid w:val="006B2930"/>
    <w:rsid w:val="006B3B18"/>
    <w:rsid w:val="006F41CE"/>
    <w:rsid w:val="00752CA7"/>
    <w:rsid w:val="00756ED4"/>
    <w:rsid w:val="007838EE"/>
    <w:rsid w:val="007B5A52"/>
    <w:rsid w:val="00823CE0"/>
    <w:rsid w:val="00827AF3"/>
    <w:rsid w:val="00855FE5"/>
    <w:rsid w:val="00876B04"/>
    <w:rsid w:val="00877AD2"/>
    <w:rsid w:val="00880B72"/>
    <w:rsid w:val="00887F67"/>
    <w:rsid w:val="008A0ACC"/>
    <w:rsid w:val="008C24C4"/>
    <w:rsid w:val="008C5385"/>
    <w:rsid w:val="00904E2F"/>
    <w:rsid w:val="009328DA"/>
    <w:rsid w:val="00955757"/>
    <w:rsid w:val="009600C3"/>
    <w:rsid w:val="009609C2"/>
    <w:rsid w:val="00995A0B"/>
    <w:rsid w:val="009B4D09"/>
    <w:rsid w:val="009E1596"/>
    <w:rsid w:val="00A3237C"/>
    <w:rsid w:val="00A83DE4"/>
    <w:rsid w:val="00AB0B62"/>
    <w:rsid w:val="00AC2FA5"/>
    <w:rsid w:val="00B14230"/>
    <w:rsid w:val="00B4171E"/>
    <w:rsid w:val="00BA4157"/>
    <w:rsid w:val="00BB1773"/>
    <w:rsid w:val="00BB2AB7"/>
    <w:rsid w:val="00BB44E3"/>
    <w:rsid w:val="00BD4AA3"/>
    <w:rsid w:val="00BE2188"/>
    <w:rsid w:val="00BF1DC4"/>
    <w:rsid w:val="00C20076"/>
    <w:rsid w:val="00C21F8F"/>
    <w:rsid w:val="00C67C77"/>
    <w:rsid w:val="00CC51BE"/>
    <w:rsid w:val="00CE763A"/>
    <w:rsid w:val="00D1078A"/>
    <w:rsid w:val="00D112AD"/>
    <w:rsid w:val="00D222C7"/>
    <w:rsid w:val="00D2407C"/>
    <w:rsid w:val="00D2638F"/>
    <w:rsid w:val="00D42E3B"/>
    <w:rsid w:val="00D50EE3"/>
    <w:rsid w:val="00D659DE"/>
    <w:rsid w:val="00D7429E"/>
    <w:rsid w:val="00D8474A"/>
    <w:rsid w:val="00D90810"/>
    <w:rsid w:val="00DF2CD0"/>
    <w:rsid w:val="00E006A5"/>
    <w:rsid w:val="00E178F9"/>
    <w:rsid w:val="00E8714E"/>
    <w:rsid w:val="00E920F6"/>
    <w:rsid w:val="00EA29A6"/>
    <w:rsid w:val="00EC2A33"/>
    <w:rsid w:val="00EF44FC"/>
    <w:rsid w:val="00F45048"/>
    <w:rsid w:val="00F6444C"/>
    <w:rsid w:val="00F82B03"/>
    <w:rsid w:val="00F929F6"/>
    <w:rsid w:val="00F95CC2"/>
    <w:rsid w:val="00FB6BDC"/>
    <w:rsid w:val="00FC50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57"/>
    <w:rPr>
      <w:sz w:val="24"/>
      <w:szCs w:val="24"/>
    </w:rPr>
  </w:style>
  <w:style w:type="paragraph" w:styleId="Heading1">
    <w:name w:val="heading 1"/>
    <w:basedOn w:val="Normal"/>
    <w:next w:val="Normal"/>
    <w:qFormat/>
    <w:rsid w:val="00BA415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4157"/>
    <w:pPr>
      <w:jc w:val="center"/>
    </w:pPr>
    <w:rPr>
      <w:b/>
      <w:bCs/>
    </w:rPr>
  </w:style>
  <w:style w:type="character" w:styleId="Hyperlink">
    <w:name w:val="Hyperlink"/>
    <w:basedOn w:val="DefaultParagraphFont"/>
    <w:rsid w:val="00BA4157"/>
    <w:rPr>
      <w:color w:val="0000FF"/>
      <w:u w:val="single"/>
    </w:rPr>
  </w:style>
  <w:style w:type="paragraph" w:styleId="BalloonText">
    <w:name w:val="Balloon Text"/>
    <w:basedOn w:val="Normal"/>
    <w:semiHidden/>
    <w:rsid w:val="00BA4157"/>
    <w:rPr>
      <w:rFonts w:ascii="Tahoma" w:hAnsi="Tahoma" w:cs="Tahoma"/>
      <w:sz w:val="16"/>
      <w:szCs w:val="16"/>
    </w:rPr>
  </w:style>
  <w:style w:type="paragraph" w:styleId="Header">
    <w:name w:val="header"/>
    <w:basedOn w:val="Normal"/>
    <w:rsid w:val="00BA4157"/>
    <w:pPr>
      <w:tabs>
        <w:tab w:val="center" w:pos="4320"/>
        <w:tab w:val="right" w:pos="8640"/>
      </w:tabs>
    </w:pPr>
  </w:style>
  <w:style w:type="paragraph" w:styleId="Footer">
    <w:name w:val="footer"/>
    <w:basedOn w:val="Normal"/>
    <w:rsid w:val="00BA4157"/>
    <w:pPr>
      <w:tabs>
        <w:tab w:val="center" w:pos="4320"/>
        <w:tab w:val="right" w:pos="8640"/>
      </w:tabs>
    </w:pPr>
  </w:style>
  <w:style w:type="paragraph" w:styleId="PlainText">
    <w:name w:val="Plain Text"/>
    <w:basedOn w:val="Normal"/>
    <w:rsid w:val="00011B6F"/>
    <w:rPr>
      <w:rFonts w:ascii="Courier New" w:hAnsi="Courier New" w:cs="Courier New"/>
      <w:sz w:val="20"/>
      <w:szCs w:val="20"/>
    </w:rPr>
  </w:style>
  <w:style w:type="character" w:styleId="CommentReference">
    <w:name w:val="annotation reference"/>
    <w:basedOn w:val="DefaultParagraphFont"/>
    <w:uiPriority w:val="99"/>
    <w:semiHidden/>
    <w:unhideWhenUsed/>
    <w:rsid w:val="00443181"/>
    <w:rPr>
      <w:sz w:val="16"/>
      <w:szCs w:val="16"/>
    </w:rPr>
  </w:style>
  <w:style w:type="paragraph" w:styleId="CommentText">
    <w:name w:val="annotation text"/>
    <w:basedOn w:val="Normal"/>
    <w:link w:val="CommentTextChar"/>
    <w:uiPriority w:val="99"/>
    <w:semiHidden/>
    <w:unhideWhenUsed/>
    <w:rsid w:val="00443181"/>
    <w:rPr>
      <w:sz w:val="20"/>
      <w:szCs w:val="20"/>
    </w:rPr>
  </w:style>
  <w:style w:type="character" w:customStyle="1" w:styleId="CommentTextChar">
    <w:name w:val="Comment Text Char"/>
    <w:basedOn w:val="DefaultParagraphFont"/>
    <w:link w:val="CommentText"/>
    <w:uiPriority w:val="99"/>
    <w:semiHidden/>
    <w:rsid w:val="00443181"/>
  </w:style>
  <w:style w:type="paragraph" w:styleId="CommentSubject">
    <w:name w:val="annotation subject"/>
    <w:basedOn w:val="CommentText"/>
    <w:next w:val="CommentText"/>
    <w:link w:val="CommentSubjectChar"/>
    <w:uiPriority w:val="99"/>
    <w:semiHidden/>
    <w:unhideWhenUsed/>
    <w:rsid w:val="00443181"/>
    <w:rPr>
      <w:b/>
      <w:bCs/>
    </w:rPr>
  </w:style>
  <w:style w:type="character" w:customStyle="1" w:styleId="CommentSubjectChar">
    <w:name w:val="Comment Subject Char"/>
    <w:basedOn w:val="CommentTextChar"/>
    <w:link w:val="CommentSubject"/>
    <w:uiPriority w:val="99"/>
    <w:semiHidden/>
    <w:rsid w:val="00443181"/>
    <w:rPr>
      <w:b/>
      <w:bCs/>
    </w:rPr>
  </w:style>
  <w:style w:type="paragraph" w:styleId="ListParagraph">
    <w:name w:val="List Paragraph"/>
    <w:basedOn w:val="Normal"/>
    <w:uiPriority w:val="34"/>
    <w:qFormat/>
    <w:rsid w:val="00270393"/>
    <w:pPr>
      <w:ind w:left="720"/>
      <w:contextualSpacing/>
    </w:pPr>
  </w:style>
  <w:style w:type="character" w:styleId="PageNumber">
    <w:name w:val="page number"/>
    <w:basedOn w:val="DefaultParagraphFont"/>
    <w:uiPriority w:val="99"/>
    <w:semiHidden/>
    <w:unhideWhenUsed/>
    <w:rsid w:val="003C29C9"/>
  </w:style>
  <w:style w:type="paragraph" w:styleId="Revision">
    <w:name w:val="Revision"/>
    <w:hidden/>
    <w:uiPriority w:val="99"/>
    <w:semiHidden/>
    <w:rsid w:val="001071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57"/>
    <w:rPr>
      <w:sz w:val="24"/>
      <w:szCs w:val="24"/>
    </w:rPr>
  </w:style>
  <w:style w:type="paragraph" w:styleId="Heading1">
    <w:name w:val="heading 1"/>
    <w:basedOn w:val="Normal"/>
    <w:next w:val="Normal"/>
    <w:qFormat/>
    <w:rsid w:val="00BA415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4157"/>
    <w:pPr>
      <w:jc w:val="center"/>
    </w:pPr>
    <w:rPr>
      <w:b/>
      <w:bCs/>
    </w:rPr>
  </w:style>
  <w:style w:type="character" w:styleId="Hyperlink">
    <w:name w:val="Hyperlink"/>
    <w:basedOn w:val="DefaultParagraphFont"/>
    <w:rsid w:val="00BA4157"/>
    <w:rPr>
      <w:color w:val="0000FF"/>
      <w:u w:val="single"/>
    </w:rPr>
  </w:style>
  <w:style w:type="paragraph" w:styleId="BalloonText">
    <w:name w:val="Balloon Text"/>
    <w:basedOn w:val="Normal"/>
    <w:semiHidden/>
    <w:rsid w:val="00BA4157"/>
    <w:rPr>
      <w:rFonts w:ascii="Tahoma" w:hAnsi="Tahoma" w:cs="Tahoma"/>
      <w:sz w:val="16"/>
      <w:szCs w:val="16"/>
    </w:rPr>
  </w:style>
  <w:style w:type="paragraph" w:styleId="Header">
    <w:name w:val="header"/>
    <w:basedOn w:val="Normal"/>
    <w:rsid w:val="00BA4157"/>
    <w:pPr>
      <w:tabs>
        <w:tab w:val="center" w:pos="4320"/>
        <w:tab w:val="right" w:pos="8640"/>
      </w:tabs>
    </w:pPr>
  </w:style>
  <w:style w:type="paragraph" w:styleId="Footer">
    <w:name w:val="footer"/>
    <w:basedOn w:val="Normal"/>
    <w:rsid w:val="00BA4157"/>
    <w:pPr>
      <w:tabs>
        <w:tab w:val="center" w:pos="4320"/>
        <w:tab w:val="right" w:pos="8640"/>
      </w:tabs>
    </w:pPr>
  </w:style>
  <w:style w:type="paragraph" w:styleId="PlainText">
    <w:name w:val="Plain Text"/>
    <w:basedOn w:val="Normal"/>
    <w:rsid w:val="00011B6F"/>
    <w:rPr>
      <w:rFonts w:ascii="Courier New" w:hAnsi="Courier New" w:cs="Courier New"/>
      <w:sz w:val="20"/>
      <w:szCs w:val="20"/>
    </w:rPr>
  </w:style>
  <w:style w:type="character" w:styleId="CommentReference">
    <w:name w:val="annotation reference"/>
    <w:basedOn w:val="DefaultParagraphFont"/>
    <w:uiPriority w:val="99"/>
    <w:semiHidden/>
    <w:unhideWhenUsed/>
    <w:rsid w:val="00443181"/>
    <w:rPr>
      <w:sz w:val="16"/>
      <w:szCs w:val="16"/>
    </w:rPr>
  </w:style>
  <w:style w:type="paragraph" w:styleId="CommentText">
    <w:name w:val="annotation text"/>
    <w:basedOn w:val="Normal"/>
    <w:link w:val="CommentTextChar"/>
    <w:uiPriority w:val="99"/>
    <w:semiHidden/>
    <w:unhideWhenUsed/>
    <w:rsid w:val="00443181"/>
    <w:rPr>
      <w:sz w:val="20"/>
      <w:szCs w:val="20"/>
    </w:rPr>
  </w:style>
  <w:style w:type="character" w:customStyle="1" w:styleId="CommentTextChar">
    <w:name w:val="Comment Text Char"/>
    <w:basedOn w:val="DefaultParagraphFont"/>
    <w:link w:val="CommentText"/>
    <w:uiPriority w:val="99"/>
    <w:semiHidden/>
    <w:rsid w:val="00443181"/>
  </w:style>
  <w:style w:type="paragraph" w:styleId="CommentSubject">
    <w:name w:val="annotation subject"/>
    <w:basedOn w:val="CommentText"/>
    <w:next w:val="CommentText"/>
    <w:link w:val="CommentSubjectChar"/>
    <w:uiPriority w:val="99"/>
    <w:semiHidden/>
    <w:unhideWhenUsed/>
    <w:rsid w:val="00443181"/>
    <w:rPr>
      <w:b/>
      <w:bCs/>
    </w:rPr>
  </w:style>
  <w:style w:type="character" w:customStyle="1" w:styleId="CommentSubjectChar">
    <w:name w:val="Comment Subject Char"/>
    <w:basedOn w:val="CommentTextChar"/>
    <w:link w:val="CommentSubject"/>
    <w:uiPriority w:val="99"/>
    <w:semiHidden/>
    <w:rsid w:val="00443181"/>
    <w:rPr>
      <w:b/>
      <w:bCs/>
    </w:rPr>
  </w:style>
  <w:style w:type="paragraph" w:styleId="ListParagraph">
    <w:name w:val="List Paragraph"/>
    <w:basedOn w:val="Normal"/>
    <w:uiPriority w:val="34"/>
    <w:qFormat/>
    <w:rsid w:val="00270393"/>
    <w:pPr>
      <w:ind w:left="720"/>
      <w:contextualSpacing/>
    </w:pPr>
  </w:style>
  <w:style w:type="character" w:styleId="PageNumber">
    <w:name w:val="page number"/>
    <w:basedOn w:val="DefaultParagraphFont"/>
    <w:uiPriority w:val="99"/>
    <w:semiHidden/>
    <w:unhideWhenUsed/>
    <w:rsid w:val="003C29C9"/>
  </w:style>
  <w:style w:type="paragraph" w:styleId="Revision">
    <w:name w:val="Revision"/>
    <w:hidden/>
    <w:uiPriority w:val="99"/>
    <w:semiHidden/>
    <w:rsid w:val="001071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SWE – Region H Student Representative National Conference Travel Grant Policy</vt:lpstr>
    </vt:vector>
  </TitlesOfParts>
  <Company>Seagate Technology</Company>
  <LinksUpToDate>false</LinksUpToDate>
  <CharactersWithSpaces>7062</CharactersWithSpaces>
  <SharedDoc>false</SharedDoc>
  <HLinks>
    <vt:vector size="18" baseType="variant">
      <vt:variant>
        <vt:i4>917610</vt:i4>
      </vt:variant>
      <vt:variant>
        <vt:i4>6</vt:i4>
      </vt:variant>
      <vt:variant>
        <vt:i4>0</vt:i4>
      </vt:variant>
      <vt:variant>
        <vt:i4>5</vt:i4>
      </vt:variant>
      <vt:variant>
        <vt:lpwstr>mailto:julie.long@ci.bloomington.mn.us</vt:lpwstr>
      </vt:variant>
      <vt:variant>
        <vt:lpwstr/>
      </vt:variant>
      <vt:variant>
        <vt:i4>917610</vt:i4>
      </vt:variant>
      <vt:variant>
        <vt:i4>3</vt:i4>
      </vt:variant>
      <vt:variant>
        <vt:i4>0</vt:i4>
      </vt:variant>
      <vt:variant>
        <vt:i4>5</vt:i4>
      </vt:variant>
      <vt:variant>
        <vt:lpwstr>mailto:julie.long@ci.bloomington.mn.us</vt:lpwstr>
      </vt:variant>
      <vt:variant>
        <vt:lpwstr/>
      </vt:variant>
      <vt:variant>
        <vt:i4>7340106</vt:i4>
      </vt:variant>
      <vt:variant>
        <vt:i4>0</vt:i4>
      </vt:variant>
      <vt:variant>
        <vt:i4>0</vt:i4>
      </vt:variant>
      <vt:variant>
        <vt:i4>5</vt:i4>
      </vt:variant>
      <vt:variant>
        <vt:lpwstr>mailto:Renata_M_Vallese@whirlpool.com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 – Region H Student Representative National Conference Travel Grant Policy</dc:title>
  <dc:creator>Kari Tarpey</dc:creator>
  <cp:lastModifiedBy>dayna</cp:lastModifiedBy>
  <cp:revision>5</cp:revision>
  <cp:lastPrinted>2011-12-27T17:10:00Z</cp:lastPrinted>
  <dcterms:created xsi:type="dcterms:W3CDTF">2015-06-18T17:21:00Z</dcterms:created>
  <dcterms:modified xsi:type="dcterms:W3CDTF">2015-07-05T17:58:00Z</dcterms:modified>
</cp:coreProperties>
</file>